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3"/>
        <w:tblW w:w="0" w:type="auto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80"/>
        <w:gridCol w:w="3532"/>
        <w:gridCol w:w="357"/>
        <w:gridCol w:w="576"/>
        <w:gridCol w:w="481"/>
        <w:gridCol w:w="1041"/>
        <w:gridCol w:w="1092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tblHeader/>
        </w:trPr>
        <w:tc>
          <w:tcPr>
            <w:tcW w:w="100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36"/>
                <w:szCs w:val="36"/>
              </w:rPr>
              <w:t>机电类设备（场(厂)内专用机动车辆）技术服务协议书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5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本协议签订地：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协议书编号：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甲方单位(盖章)</w:t>
            </w:r>
          </w:p>
        </w:tc>
        <w:tc>
          <w:tcPr>
            <w:tcW w:w="353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4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详细地址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电子邮箱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乙方单位(盖章)</w:t>
            </w:r>
          </w:p>
        </w:tc>
        <w:tc>
          <w:tcPr>
            <w:tcW w:w="3532" w:type="dxa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广东省特种设备检测研究院顺德检测院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详细地址</w:t>
            </w:r>
          </w:p>
        </w:tc>
        <w:tc>
          <w:tcPr>
            <w:tcW w:w="8459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广东省佛山市顺德区陈村镇永兴社区广隆工业园兴业六路3号之一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委托设备清单</w:t>
            </w:r>
          </w:p>
        </w:tc>
        <w:tc>
          <w:tcPr>
            <w:tcW w:w="8459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见附表。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设备登记所在地</w:t>
            </w:r>
          </w:p>
        </w:tc>
        <w:tc>
          <w:tcPr>
            <w:tcW w:w="8459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设备使用地点</w:t>
            </w:r>
          </w:p>
        </w:tc>
        <w:tc>
          <w:tcPr>
            <w:tcW w:w="8459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设备使用单位</w:t>
            </w:r>
          </w:p>
        </w:tc>
        <w:tc>
          <w:tcPr>
            <w:tcW w:w="8459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□与委托单位一致；□</w:t>
            </w:r>
            <w:r>
              <w:rPr>
                <w:rFonts w:ascii="Calibri" w:hAnsi="Calibri" w:cs="Calibri"/>
                <w:color w:val="auto"/>
                <w:sz w:val="18"/>
                <w:szCs w:val="18"/>
                <w:u w:val="single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委托检测项目</w:t>
            </w:r>
          </w:p>
        </w:tc>
        <w:tc>
          <w:tcPr>
            <w:tcW w:w="3532" w:type="dxa"/>
            <w:tcBorders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□场(厂)内专用机动车辆委托检测</w:t>
            </w:r>
          </w:p>
        </w:tc>
        <w:tc>
          <w:tcPr>
            <w:tcW w:w="4927" w:type="dxa"/>
            <w:gridSpan w:val="6"/>
            <w:tcBorders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8459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□存在安全隐患场(厂)内专用机动车辆的维修后评价服务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532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12"/>
              <w:adjustRightInd w:val="0"/>
              <w:snapToGrid w:val="0"/>
              <w:spacing w:after="0" w:line="320" w:lineRule="auto"/>
              <w:ind w:left="0" w:leftChars="0" w:firstLine="0" w:firstLineChars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□停用设备投用前评价服务</w:t>
            </w:r>
          </w:p>
        </w:tc>
        <w:tc>
          <w:tcPr>
            <w:tcW w:w="492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8459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委托检测方法及评价依据</w:t>
            </w:r>
          </w:p>
        </w:tc>
        <w:tc>
          <w:tcPr>
            <w:tcW w:w="8459" w:type="dxa"/>
            <w:gridSpan w:val="7"/>
            <w:vAlign w:val="center"/>
          </w:tcPr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《中华人民共和国特种设备安全法》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2.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《特种设备安全监察条例》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3.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《广东省特种设备安全条例》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4.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《场（厂）内机动车辆安全检验技术要求》（GB/T16178-2011）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5.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《场（厂）内专用机动车辆安全技术规程》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（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TSG 81-2022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）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6.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《工业车辆 安全要求和验证 第1部分：自行式工业车辆（除无人驾驶车辆、伸缩臂式叉车和载运车）》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（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GB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 xml:space="preserve">/T 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10827.1-2014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）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7.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《叉车  货叉  技术要求和试验方法》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（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GB/T5182-2008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）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8.《场（厂）内机动车辆安全检验技术要求》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GB/T 16178-2011</w:t>
            </w:r>
            <w:r>
              <w:rPr>
                <w:rFonts w:hint="eastAsia"/>
                <w:color w:val="auto"/>
              </w:rPr>
              <w:t>）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9.《非公路用旅游观光车通用技术条件》（GB/T21268-2014）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10.《500kg～10000kg乘驾式平衡重式叉车》（JB/T2391-2017）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11.《10000kg～45000kg内燃平衡重式叉车 技术条》（JB/T11037-2010）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12.《蓄电池前移式叉车》（JB/T3244-2005）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13.《插腿式叉车》（JB/T3340-2005）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14.《托盘堆垛车》（JB/T3341-2005）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15.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其他法规标准或科技成果：</w:t>
            </w:r>
            <w:r>
              <w:rPr>
                <w:rFonts w:ascii="Calibri" w:hAnsi="Calibri" w:cs="Calibri"/>
                <w:color w:val="auto"/>
                <w:sz w:val="18"/>
                <w:szCs w:val="18"/>
                <w:u w:val="single"/>
              </w:rPr>
              <w:t xml:space="preserve">                       </w:t>
            </w:r>
          </w:p>
          <w:p>
            <w:pPr>
              <w:pStyle w:val="23"/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注：上述标准若有更新，依照最新版本执行。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技术服务费用</w:t>
            </w:r>
          </w:p>
        </w:tc>
        <w:tc>
          <w:tcPr>
            <w:tcW w:w="8459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合计（含6%增值税）：大写 ¥</w:t>
            </w:r>
            <w:r>
              <w:rPr>
                <w:rFonts w:ascii="Calibri" w:hAnsi="Calibri" w:cs="Calibri"/>
                <w:color w:val="auto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元整（小写 ¥</w:t>
            </w:r>
            <w:r>
              <w:rPr>
                <w:rFonts w:ascii="Calibri" w:hAnsi="Calibri" w:cs="Calibri"/>
                <w:color w:val="auto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元）</w:t>
            </w:r>
          </w:p>
          <w:p>
            <w:p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该费用包含委托检测费用、技术咨询费用等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1" w:type="dxa"/>
            <w:gridSpan w:val="2"/>
            <w:vMerge w:val="restart"/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甲方开票信息</w:t>
            </w:r>
          </w:p>
        </w:tc>
        <w:tc>
          <w:tcPr>
            <w:tcW w:w="4465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开户名称：</w:t>
            </w:r>
          </w:p>
        </w:tc>
        <w:tc>
          <w:tcPr>
            <w:tcW w:w="3994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开户银行：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lang w:eastAsia="zh-CN"/>
              </w:rPr>
              <w:t>银行账号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注册地址：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1" w:type="dxa"/>
            <w:gridSpan w:val="2"/>
            <w:vMerge w:val="restart"/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乙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方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收款信息</w:t>
            </w:r>
          </w:p>
        </w:tc>
        <w:tc>
          <w:tcPr>
            <w:tcW w:w="4465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开户名称：广东省特种设备检测研究院顺德检测院</w:t>
            </w:r>
          </w:p>
        </w:tc>
        <w:tc>
          <w:tcPr>
            <w:tcW w:w="3994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统一社会信用代码：12440000456085719P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开户银行：中国农业银行股份有限公司顺德分行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lang w:eastAsia="zh-CN"/>
              </w:rPr>
              <w:t>银行账号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：44463001040037309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注册地址：广东省佛山市顺德区陈村镇永兴社区广隆工业园兴业六路3号之一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电话：0757-22337603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甲方承担的责任和义务</w:t>
            </w:r>
          </w:p>
        </w:tc>
        <w:tc>
          <w:tcPr>
            <w:tcW w:w="8459" w:type="dxa"/>
            <w:gridSpan w:val="7"/>
            <w:vAlign w:val="center"/>
          </w:tcPr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提供待检设备的资料（产品质量证明书、检测报告及其相关技术随机文件等）；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设备在甲方设备所在现场待检，委托检测现场应满足相关委托检测标准规范的要求，且需提供必要的安全指引和安全隔离设施；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在乙方技术服务期间，甲方负责协调和辅助配合乙方开展工作；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.配合乙方检测人员工作，对检测过程提出的问题和整改意见，应及时进行处理和回复；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及时整理和提供乙方出具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委托检测报告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所需的其他资料；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承诺在业务来往过程中，不得借助商业贿赂手段获得不正当利益；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甲方负责设备现场检测评价服务前期的准备工作；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委托检测项目如涉及性能测试，要使用经计量认可的砝码或重物的，由甲方提供；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甲方提供必要的现场条件及安全生产保障，技术服务期间因甲方原因发生安全生产事故的，由甲方承担相应责任。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乙方承担的责任和义务</w:t>
            </w:r>
          </w:p>
        </w:tc>
        <w:tc>
          <w:tcPr>
            <w:tcW w:w="8459" w:type="dxa"/>
            <w:gridSpan w:val="7"/>
            <w:vAlign w:val="center"/>
          </w:tcPr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按照相应相关标准、技术规范的要求进行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委托检测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，配置检测所需人员和仪器设备；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在检测过程中发现的重大缺陷或质量问题应及时向甲方反馈；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检测完成后，</w:t>
            </w:r>
            <w:r>
              <w:rPr>
                <w:rFonts w:ascii="Calibri" w:hAnsi="Calibri" w:cs="Calibri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u w:val="single"/>
              </w:rPr>
              <w:t>15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个工作日内（复杂、大批量设备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u w:val="single"/>
              </w:rPr>
              <w:t>25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个工作日）出具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委托检测报告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，并对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委托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检测结果的公正性、正确性负责；报告发放形式：甲方自取或发送电子报告书；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甲方就设备存在问题，向乙方提出咨询服务时，乙方应提供专业意见；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乙方对甲方提供的技术资料、自行检查记录（报告）进行审查，提出改进建议；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乙方不得泄露甲方本项目中涉及的商业或技术秘密，保质保量完成以上任务；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乙方人员应遵守甲方的相关安全管理规定，并协助甲方做好现场安全及防火工作，如因乙方未遵守甲方的安全规定，发生安全事故的，由乙方或相关责任方承担相应责任及赔偿，赔偿不超过本协议总额的50%。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其它条款</w:t>
            </w:r>
          </w:p>
        </w:tc>
        <w:tc>
          <w:tcPr>
            <w:tcW w:w="8459" w:type="dxa"/>
            <w:gridSpan w:val="7"/>
            <w:vAlign w:val="center"/>
          </w:tcPr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甲方保证及时配合乙方工作，在协议签订后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u w:val="single"/>
              </w:rPr>
              <w:t xml:space="preserve"> 5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个工作日内缴纳所需费用。逾期缴费的，乙方按每日总价的0.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3%收取违约金；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 w:eastAsiaTheme="minorEastAsia"/>
                <w:color w:val="auto"/>
                <w:sz w:val="18"/>
                <w:szCs w:val="18"/>
              </w:rPr>
              <w:t>甲方按照约定付款后</w:t>
            </w:r>
            <w:r>
              <w:rPr>
                <w:rFonts w:hint="eastAsia" w:ascii="Calibri" w:hAnsi="Calibri" w:cs="Calibri" w:eastAsiaTheme="minorEastAsia"/>
                <w:color w:val="auto"/>
                <w:sz w:val="18"/>
                <w:szCs w:val="18"/>
                <w:u w:val="single"/>
              </w:rPr>
              <w:t xml:space="preserve"> 10</w:t>
            </w:r>
            <w:r>
              <w:rPr>
                <w:rFonts w:hint="eastAsia" w:ascii="Calibri" w:hAnsi="Calibri" w:cs="Calibri" w:eastAsiaTheme="minorEastAsia"/>
                <w:color w:val="auto"/>
                <w:sz w:val="18"/>
                <w:szCs w:val="18"/>
              </w:rPr>
              <w:t>个工作日内安排检测，对委托检测提出的隐患问题，如需现场确认隐患处理情况的，乙方产生的费用不包含在本合同价款中；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甲方需提供开票信息用于乙方开具发票，增值税普通发票及增值税专用发票均为含6%税率的电子发票；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双方因履行本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协议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而发生争议的应协商解决，协商不成的可向原告所在地人民法院起诉；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违约方违反本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</w:rPr>
              <w:t>协议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约定而给守约方造成任何损失或损害的，违约方应赔偿守约方的损失，包括但不限于守约方遭受的直接损失，对第三方的赔偿金/违约金、预期可得利益以及因维权而支出的费用 (包括但不限于诉讼/仲裁费、律师费、保全费、保全保函费、差旅费等)；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技术服务期间涉及到需要邮寄的，邮寄费用由邮寄方承担，如有另行约定的除外；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由于不可抗拒原因造成的延迟检测或者终止检测，乙方不承担责任；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本协议每页均有盖章处，加页处盖骑缝章，一式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u w:val="single"/>
              </w:rPr>
              <w:t>2</w:t>
            </w:r>
            <w:r>
              <w:rPr>
                <w:rFonts w:ascii="Calibri" w:hAnsi="Calibri" w:cs="Calibri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份，甲方</w:t>
            </w:r>
            <w:r>
              <w:rPr>
                <w:rFonts w:ascii="Calibri" w:hAnsi="Calibri" w:cs="Calibri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u w:val="single"/>
              </w:rPr>
              <w:t>1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份乙方</w:t>
            </w:r>
            <w:r>
              <w:rPr>
                <w:rFonts w:ascii="Calibri" w:hAnsi="Calibri" w:cs="Calibri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u w:val="single"/>
              </w:rPr>
              <w:t>1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份，每份协议都具有同等法律效力；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本协议自双方签署后生效，至甲方收到报告并支付完毕费用后终止。</w:t>
            </w:r>
          </w:p>
          <w:p>
            <w:pPr>
              <w:pStyle w:val="23"/>
              <w:numPr>
                <w:ilvl w:val="0"/>
                <w:numId w:val="1"/>
              </w:numPr>
              <w:adjustRightInd w:val="0"/>
              <w:snapToGrid w:val="0"/>
              <w:spacing w:line="320" w:lineRule="auto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其他条款：</w:t>
            </w:r>
            <w:r>
              <w:rPr>
                <w:rFonts w:ascii="Calibri" w:hAnsi="Calibri" w:cs="Calibri"/>
                <w:color w:val="auto"/>
                <w:sz w:val="18"/>
                <w:szCs w:val="18"/>
                <w:u w:val="single"/>
              </w:rPr>
              <w:t xml:space="preserve">                                              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28"/>
              <w:tabs>
                <w:tab w:val="left" w:pos="837"/>
              </w:tabs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协议</w:t>
            </w:r>
          </w:p>
          <w:p>
            <w:pPr>
              <w:pStyle w:val="28"/>
              <w:tabs>
                <w:tab w:val="left" w:pos="837"/>
              </w:tabs>
              <w:adjustRightInd w:val="0"/>
              <w:snapToGrid w:val="0"/>
              <w:spacing w:line="32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签定</w:t>
            </w:r>
          </w:p>
        </w:tc>
        <w:tc>
          <w:tcPr>
            <w:tcW w:w="4569" w:type="dxa"/>
            <w:gridSpan w:val="3"/>
            <w:tcBorders>
              <w:bottom w:val="nil"/>
              <w:right w:val="nil"/>
            </w:tcBorders>
            <w:vAlign w:val="bottom"/>
          </w:tcPr>
          <w:p>
            <w:pPr>
              <w:pStyle w:val="28"/>
              <w:tabs>
                <w:tab w:val="left" w:pos="837"/>
              </w:tabs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甲方（盖章）：</w:t>
            </w:r>
          </w:p>
        </w:tc>
        <w:tc>
          <w:tcPr>
            <w:tcW w:w="4570" w:type="dxa"/>
            <w:gridSpan w:val="5"/>
            <w:tcBorders>
              <w:left w:val="nil"/>
              <w:bottom w:val="nil"/>
            </w:tcBorders>
            <w:vAlign w:val="center"/>
          </w:tcPr>
          <w:p>
            <w:pPr>
              <w:pStyle w:val="28"/>
              <w:tabs>
                <w:tab w:val="left" w:pos="731"/>
              </w:tabs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乙方（盖章）：广东省特种设备检测研究院顺德检测院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8"/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456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>
            <w:pPr>
              <w:pStyle w:val="28"/>
              <w:tabs>
                <w:tab w:val="left" w:pos="837"/>
              </w:tabs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甲方代表签名：</w:t>
            </w:r>
          </w:p>
        </w:tc>
        <w:tc>
          <w:tcPr>
            <w:tcW w:w="4570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28"/>
              <w:tabs>
                <w:tab w:val="left" w:pos="837"/>
              </w:tabs>
              <w:adjustRightInd w:val="0"/>
              <w:snapToGrid w:val="0"/>
              <w:spacing w:line="320" w:lineRule="auto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乙方代表签名：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8"/>
              <w:tabs>
                <w:tab w:val="left" w:pos="3042"/>
                <w:tab w:val="left" w:pos="3674"/>
                <w:tab w:val="left" w:pos="4302"/>
              </w:tabs>
              <w:wordWrap w:val="0"/>
              <w:adjustRightInd w:val="0"/>
              <w:snapToGrid w:val="0"/>
              <w:spacing w:line="320" w:lineRule="auto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4569" w:type="dxa"/>
            <w:gridSpan w:val="3"/>
            <w:tcBorders>
              <w:top w:val="nil"/>
              <w:right w:val="nil"/>
            </w:tcBorders>
            <w:vAlign w:val="bottom"/>
          </w:tcPr>
          <w:p>
            <w:pPr>
              <w:pStyle w:val="28"/>
              <w:tabs>
                <w:tab w:val="left" w:pos="3042"/>
                <w:tab w:val="left" w:pos="3674"/>
                <w:tab w:val="left" w:pos="4302"/>
              </w:tabs>
              <w:wordWrap w:val="0"/>
              <w:adjustRightInd w:val="0"/>
              <w:snapToGrid w:val="0"/>
              <w:spacing w:line="320" w:lineRule="auto"/>
              <w:ind w:firstLine="720" w:firstLineChars="400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年    月    日</w:t>
            </w:r>
          </w:p>
        </w:tc>
        <w:tc>
          <w:tcPr>
            <w:tcW w:w="4570" w:type="dxa"/>
            <w:gridSpan w:val="5"/>
            <w:tcBorders>
              <w:top w:val="nil"/>
              <w:left w:val="nil"/>
            </w:tcBorders>
            <w:vAlign w:val="bottom"/>
          </w:tcPr>
          <w:p>
            <w:pPr>
              <w:pStyle w:val="28"/>
              <w:tabs>
                <w:tab w:val="left" w:pos="2296"/>
                <w:tab w:val="left" w:pos="2927"/>
                <w:tab w:val="left" w:pos="3556"/>
              </w:tabs>
              <w:adjustRightInd w:val="0"/>
              <w:snapToGrid w:val="0"/>
              <w:spacing w:line="320" w:lineRule="auto"/>
              <w:ind w:firstLine="720" w:firstLineChars="400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年    月    日</w:t>
            </w:r>
          </w:p>
        </w:tc>
      </w:tr>
    </w:tbl>
    <w:p>
      <w:pPr>
        <w:pStyle w:val="4"/>
        <w:jc w:val="left"/>
        <w:rPr>
          <w:rFonts w:asciiTheme="minorEastAsia" w:hAnsiTheme="minorEastAsia" w:eastAsiaTheme="minorEastAsia"/>
          <w:b/>
          <w:bCs/>
          <w:sz w:val="21"/>
          <w:szCs w:val="21"/>
        </w:rPr>
      </w:pPr>
    </w:p>
    <w:p>
      <w:pPr>
        <w:pStyle w:val="4"/>
        <w:jc w:val="left"/>
        <w:rPr>
          <w:rFonts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</w:rPr>
        <w:t>附表一 委托设备信息（可加页）</w:t>
      </w:r>
    </w:p>
    <w:tbl>
      <w:tblPr>
        <w:tblStyle w:val="13"/>
        <w:tblW w:w="1012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42"/>
        <w:gridCol w:w="2917"/>
        <w:gridCol w:w="1843"/>
        <w:gridCol w:w="1823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设备名称</w:t>
            </w:r>
          </w:p>
        </w:tc>
        <w:tc>
          <w:tcPr>
            <w:tcW w:w="2917" w:type="dxa"/>
            <w:vAlign w:val="center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使用登记证（选填）</w:t>
            </w:r>
          </w:p>
        </w:tc>
        <w:tc>
          <w:tcPr>
            <w:tcW w:w="1843" w:type="dxa"/>
            <w:vAlign w:val="center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出厂编号</w:t>
            </w:r>
          </w:p>
        </w:tc>
        <w:tc>
          <w:tcPr>
            <w:tcW w:w="1823" w:type="dxa"/>
            <w:vAlign w:val="center"/>
          </w:tcPr>
          <w:p>
            <w:pPr>
              <w:pStyle w:val="4"/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设备使用地点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42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2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2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42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42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42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pStyle w:val="4"/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jc w:val="left"/>
        <w:rPr>
          <w:sz w:val="28"/>
          <w:szCs w:val="28"/>
        </w:rPr>
      </w:pPr>
    </w:p>
    <w:sectPr>
      <w:pgSz w:w="11906" w:h="16838"/>
      <w:pgMar w:top="426" w:right="1134" w:bottom="28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FF78"/>
    <w:multiLevelType w:val="singleLevel"/>
    <w:tmpl w:val="C37AFF78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NzZhNmFiMTcyNDcyZTQwYWIzMWJlN2VhNTBlNTEifQ=="/>
    <w:docVar w:name="KSO_WPS_MARK_KEY" w:val="e032399e-0196-45c4-a474-55f6ecca216c"/>
  </w:docVars>
  <w:rsids>
    <w:rsidRoot w:val="00172A27"/>
    <w:rsid w:val="00046E64"/>
    <w:rsid w:val="00091BB4"/>
    <w:rsid w:val="00092813"/>
    <w:rsid w:val="000B5F09"/>
    <w:rsid w:val="000D41F0"/>
    <w:rsid w:val="000F32D6"/>
    <w:rsid w:val="00103BA9"/>
    <w:rsid w:val="00124F33"/>
    <w:rsid w:val="0013453F"/>
    <w:rsid w:val="00135FBD"/>
    <w:rsid w:val="00172A27"/>
    <w:rsid w:val="00185726"/>
    <w:rsid w:val="00196E1B"/>
    <w:rsid w:val="001A2F6F"/>
    <w:rsid w:val="001A7F24"/>
    <w:rsid w:val="001C04E7"/>
    <w:rsid w:val="001C1C3E"/>
    <w:rsid w:val="001E3A83"/>
    <w:rsid w:val="001E786C"/>
    <w:rsid w:val="001F399A"/>
    <w:rsid w:val="001F4B15"/>
    <w:rsid w:val="002022A5"/>
    <w:rsid w:val="002206C6"/>
    <w:rsid w:val="00233172"/>
    <w:rsid w:val="00243167"/>
    <w:rsid w:val="00263783"/>
    <w:rsid w:val="00285DCC"/>
    <w:rsid w:val="002B04FD"/>
    <w:rsid w:val="002B69BE"/>
    <w:rsid w:val="002D35AB"/>
    <w:rsid w:val="002D5976"/>
    <w:rsid w:val="002E65F1"/>
    <w:rsid w:val="00302671"/>
    <w:rsid w:val="00304B98"/>
    <w:rsid w:val="003359FA"/>
    <w:rsid w:val="00336354"/>
    <w:rsid w:val="00385E19"/>
    <w:rsid w:val="00385E55"/>
    <w:rsid w:val="00387C79"/>
    <w:rsid w:val="003E4233"/>
    <w:rsid w:val="003E734B"/>
    <w:rsid w:val="0041486D"/>
    <w:rsid w:val="0043666C"/>
    <w:rsid w:val="00444773"/>
    <w:rsid w:val="004534DD"/>
    <w:rsid w:val="00473E1A"/>
    <w:rsid w:val="00493743"/>
    <w:rsid w:val="004B2456"/>
    <w:rsid w:val="004B628E"/>
    <w:rsid w:val="004E01AE"/>
    <w:rsid w:val="00531A86"/>
    <w:rsid w:val="005445B3"/>
    <w:rsid w:val="005450B4"/>
    <w:rsid w:val="00552EC3"/>
    <w:rsid w:val="00580900"/>
    <w:rsid w:val="005A3935"/>
    <w:rsid w:val="005B086A"/>
    <w:rsid w:val="005D2CC7"/>
    <w:rsid w:val="005E1001"/>
    <w:rsid w:val="005E3E40"/>
    <w:rsid w:val="005E7C4E"/>
    <w:rsid w:val="005F0871"/>
    <w:rsid w:val="006417E9"/>
    <w:rsid w:val="00675BC5"/>
    <w:rsid w:val="00681D01"/>
    <w:rsid w:val="006A1B3A"/>
    <w:rsid w:val="006E1527"/>
    <w:rsid w:val="006E5A89"/>
    <w:rsid w:val="00731206"/>
    <w:rsid w:val="007320B9"/>
    <w:rsid w:val="00765123"/>
    <w:rsid w:val="007874AA"/>
    <w:rsid w:val="0079298B"/>
    <w:rsid w:val="0079348A"/>
    <w:rsid w:val="007B0687"/>
    <w:rsid w:val="008039B9"/>
    <w:rsid w:val="008378E0"/>
    <w:rsid w:val="00853BF0"/>
    <w:rsid w:val="008A4650"/>
    <w:rsid w:val="008A5890"/>
    <w:rsid w:val="008D33E2"/>
    <w:rsid w:val="008E364F"/>
    <w:rsid w:val="008F4E92"/>
    <w:rsid w:val="00907119"/>
    <w:rsid w:val="00941D11"/>
    <w:rsid w:val="00943182"/>
    <w:rsid w:val="00955C9D"/>
    <w:rsid w:val="009619C9"/>
    <w:rsid w:val="009A5654"/>
    <w:rsid w:val="009B5D23"/>
    <w:rsid w:val="009B7623"/>
    <w:rsid w:val="00A00E8D"/>
    <w:rsid w:val="00AC0A27"/>
    <w:rsid w:val="00AC7819"/>
    <w:rsid w:val="00AE6C83"/>
    <w:rsid w:val="00B31AD1"/>
    <w:rsid w:val="00B75D60"/>
    <w:rsid w:val="00BD0821"/>
    <w:rsid w:val="00BF4590"/>
    <w:rsid w:val="00C2474C"/>
    <w:rsid w:val="00C35319"/>
    <w:rsid w:val="00C46AA5"/>
    <w:rsid w:val="00C6307E"/>
    <w:rsid w:val="00C811E7"/>
    <w:rsid w:val="00C843E5"/>
    <w:rsid w:val="00CA13D9"/>
    <w:rsid w:val="00CC5077"/>
    <w:rsid w:val="00CF7B8C"/>
    <w:rsid w:val="00D07D4E"/>
    <w:rsid w:val="00D20AD8"/>
    <w:rsid w:val="00D24A00"/>
    <w:rsid w:val="00D5623D"/>
    <w:rsid w:val="00D700EE"/>
    <w:rsid w:val="00DB3985"/>
    <w:rsid w:val="00DE672F"/>
    <w:rsid w:val="00E47F1A"/>
    <w:rsid w:val="00E72D82"/>
    <w:rsid w:val="00E821AC"/>
    <w:rsid w:val="00E878CD"/>
    <w:rsid w:val="00E9173E"/>
    <w:rsid w:val="00E9670C"/>
    <w:rsid w:val="00EA21AE"/>
    <w:rsid w:val="00EA5CEA"/>
    <w:rsid w:val="00EA5ECC"/>
    <w:rsid w:val="00EA7B39"/>
    <w:rsid w:val="00EC4A75"/>
    <w:rsid w:val="00EF0F55"/>
    <w:rsid w:val="00EF5631"/>
    <w:rsid w:val="00F41EC5"/>
    <w:rsid w:val="00F71251"/>
    <w:rsid w:val="00F765B7"/>
    <w:rsid w:val="00FA11B8"/>
    <w:rsid w:val="00FB36FC"/>
    <w:rsid w:val="00FC1CC3"/>
    <w:rsid w:val="00FC46A2"/>
    <w:rsid w:val="0D771E53"/>
    <w:rsid w:val="0DB03BD4"/>
    <w:rsid w:val="12090859"/>
    <w:rsid w:val="124C3F6C"/>
    <w:rsid w:val="163065B8"/>
    <w:rsid w:val="174F79FF"/>
    <w:rsid w:val="176A5098"/>
    <w:rsid w:val="1A5840DD"/>
    <w:rsid w:val="1E0F11DA"/>
    <w:rsid w:val="21B514D9"/>
    <w:rsid w:val="229F7BED"/>
    <w:rsid w:val="296A7945"/>
    <w:rsid w:val="2D775C3F"/>
    <w:rsid w:val="2EF21141"/>
    <w:rsid w:val="33787D82"/>
    <w:rsid w:val="3438587A"/>
    <w:rsid w:val="356F5645"/>
    <w:rsid w:val="3665663D"/>
    <w:rsid w:val="366F1053"/>
    <w:rsid w:val="3D51063D"/>
    <w:rsid w:val="3F054B66"/>
    <w:rsid w:val="3FE07E89"/>
    <w:rsid w:val="41350D7A"/>
    <w:rsid w:val="41C32C6C"/>
    <w:rsid w:val="44FF7003"/>
    <w:rsid w:val="474C3B63"/>
    <w:rsid w:val="47D227AD"/>
    <w:rsid w:val="4A144AC1"/>
    <w:rsid w:val="4B8A50E5"/>
    <w:rsid w:val="4C0A7AB7"/>
    <w:rsid w:val="527A4A5C"/>
    <w:rsid w:val="55994F2C"/>
    <w:rsid w:val="58182A94"/>
    <w:rsid w:val="5A28420B"/>
    <w:rsid w:val="5E3237FD"/>
    <w:rsid w:val="5E5D608F"/>
    <w:rsid w:val="5EA45771"/>
    <w:rsid w:val="5ED953EC"/>
    <w:rsid w:val="61615860"/>
    <w:rsid w:val="6200316B"/>
    <w:rsid w:val="64DA6A42"/>
    <w:rsid w:val="65827169"/>
    <w:rsid w:val="66B10B7C"/>
    <w:rsid w:val="6CBB6547"/>
    <w:rsid w:val="72F84FAC"/>
    <w:rsid w:val="73413316"/>
    <w:rsid w:val="76446D4F"/>
    <w:rsid w:val="765E3475"/>
    <w:rsid w:val="76AF1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autoRedefine/>
    <w:qFormat/>
    <w:uiPriority w:val="0"/>
    <w:rPr>
      <w:sz w:val="24"/>
    </w:rPr>
  </w:style>
  <w:style w:type="paragraph" w:styleId="5">
    <w:name w:val="Body Text Indent"/>
    <w:basedOn w:val="1"/>
    <w:next w:val="6"/>
    <w:link w:val="2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autoRedefine/>
    <w:semiHidden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annotation subject"/>
    <w:basedOn w:val="3"/>
    <w:next w:val="3"/>
    <w:link w:val="25"/>
    <w:autoRedefine/>
    <w:semiHidden/>
    <w:unhideWhenUsed/>
    <w:qFormat/>
    <w:uiPriority w:val="99"/>
    <w:rPr>
      <w:b/>
      <w:bCs/>
    </w:rPr>
  </w:style>
  <w:style w:type="paragraph" w:styleId="12">
    <w:name w:val="Body Text First Indent 2"/>
    <w:basedOn w:val="5"/>
    <w:link w:val="22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autoRedefine/>
    <w:qFormat/>
    <w:uiPriority w:val="0"/>
  </w:style>
  <w:style w:type="character" w:styleId="18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9">
    <w:name w:val="标题 1 Char"/>
    <w:basedOn w:val="15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正文文本 Char"/>
    <w:link w:val="4"/>
    <w:autoRedefine/>
    <w:qFormat/>
    <w:uiPriority w:val="0"/>
    <w:rPr>
      <w:kern w:val="2"/>
      <w:sz w:val="24"/>
    </w:rPr>
  </w:style>
  <w:style w:type="character" w:customStyle="1" w:styleId="21">
    <w:name w:val="正文文本缩进 Char"/>
    <w:link w:val="5"/>
    <w:autoRedefine/>
    <w:semiHidden/>
    <w:qFormat/>
    <w:uiPriority w:val="99"/>
    <w:rPr>
      <w:kern w:val="2"/>
      <w:sz w:val="21"/>
    </w:rPr>
  </w:style>
  <w:style w:type="character" w:customStyle="1" w:styleId="22">
    <w:name w:val="正文首行缩进 2 Char"/>
    <w:link w:val="12"/>
    <w:autoRedefine/>
    <w:qFormat/>
    <w:uiPriority w:val="99"/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">
    <w:name w:val="批注文字 Char"/>
    <w:basedOn w:val="15"/>
    <w:link w:val="3"/>
    <w:autoRedefine/>
    <w:semiHidden/>
    <w:qFormat/>
    <w:uiPriority w:val="99"/>
    <w:rPr>
      <w:kern w:val="2"/>
      <w:sz w:val="21"/>
    </w:rPr>
  </w:style>
  <w:style w:type="character" w:customStyle="1" w:styleId="25">
    <w:name w:val="批注主题 Char"/>
    <w:basedOn w:val="24"/>
    <w:link w:val="11"/>
    <w:autoRedefine/>
    <w:semiHidden/>
    <w:qFormat/>
    <w:uiPriority w:val="99"/>
    <w:rPr>
      <w:b/>
      <w:bCs/>
      <w:kern w:val="2"/>
      <w:sz w:val="21"/>
    </w:rPr>
  </w:style>
  <w:style w:type="paragraph" w:customStyle="1" w:styleId="26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7">
    <w:name w:val="批注框文本 Char"/>
    <w:basedOn w:val="15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gts</Company>
  <Pages>2</Pages>
  <Words>388</Words>
  <Characters>2215</Characters>
  <Lines>18</Lines>
  <Paragraphs>5</Paragraphs>
  <TotalTime>2</TotalTime>
  <ScaleCrop>false</ScaleCrop>
  <LinksUpToDate>false</LinksUpToDate>
  <CharactersWithSpaces>2598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2024-04-09T09:17:00Z</dcterms:created>
  <dc:creator>gts-hfm</dc:creator>
  <cp:lastModifiedBy>cpwei</cp:lastModifiedBy>
  <cp:lastPrinted>2008-01-07T00:26:00Z</cp:lastPrinted>
  <dcterms:modified xsi:type="dcterms:W3CDTF">2024-05-07T08:15:42Z</dcterms:modified>
  <dc:title>委托检验协议书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7105E03F661545FBAF85E4AE7A1F562B_13</vt:lpwstr>
  </property>
</Properties>
</file>