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黑体" w:hAnsi="宋体" w:eastAsia="黑体"/>
          <w:b/>
          <w:color w:val="000000"/>
          <w:sz w:val="52"/>
          <w:szCs w:val="52"/>
        </w:rPr>
      </w:pPr>
    </w:p>
    <w:p>
      <w:pPr>
        <w:spacing w:line="312" w:lineRule="auto"/>
        <w:jc w:val="center"/>
        <w:rPr>
          <w:rFonts w:ascii="黑体" w:hAnsi="宋体" w:eastAsia="黑体"/>
          <w:b/>
          <w:color w:val="000000"/>
          <w:sz w:val="52"/>
          <w:szCs w:val="52"/>
        </w:rPr>
      </w:pPr>
    </w:p>
    <w:p>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pPr>
        <w:spacing w:line="312" w:lineRule="auto"/>
        <w:jc w:val="center"/>
        <w:rPr>
          <w:rFonts w:ascii="黑体" w:hAnsi="宋体" w:eastAsia="黑体"/>
          <w:b/>
          <w:color w:val="000000"/>
          <w:sz w:val="44"/>
          <w:szCs w:val="44"/>
        </w:rPr>
      </w:pPr>
    </w:p>
    <w:p>
      <w:pPr>
        <w:spacing w:line="312" w:lineRule="auto"/>
        <w:jc w:val="center"/>
        <w:rPr>
          <w:rFonts w:ascii="黑体" w:hAnsi="宋体" w:eastAsia="黑体"/>
          <w:b/>
          <w:color w:val="000000"/>
          <w:sz w:val="44"/>
          <w:szCs w:val="44"/>
        </w:rPr>
      </w:pPr>
    </w:p>
    <w:p>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pPr>
        <w:spacing w:line="312" w:lineRule="auto"/>
        <w:jc w:val="center"/>
        <w:rPr>
          <w:rFonts w:ascii="黑体" w:hAnsi="宋体" w:eastAsia="黑体"/>
          <w:b/>
          <w:color w:val="000000"/>
          <w:sz w:val="36"/>
          <w:szCs w:val="36"/>
        </w:rPr>
      </w:pPr>
    </w:p>
    <w:p>
      <w:pPr>
        <w:spacing w:line="312" w:lineRule="auto"/>
        <w:jc w:val="center"/>
        <w:rPr>
          <w:rFonts w:ascii="黑体" w:hAnsi="宋体" w:eastAsia="黑体"/>
          <w:b/>
          <w:color w:val="000000"/>
          <w:sz w:val="36"/>
          <w:szCs w:val="36"/>
        </w:rPr>
      </w:pPr>
    </w:p>
    <w:p>
      <w:pPr>
        <w:spacing w:line="312" w:lineRule="auto"/>
        <w:jc w:val="center"/>
        <w:rPr>
          <w:rFonts w:ascii="黑体" w:hAnsi="宋体" w:eastAsia="黑体"/>
          <w:b/>
          <w:color w:val="000000"/>
          <w:sz w:val="36"/>
          <w:szCs w:val="36"/>
        </w:rPr>
      </w:pPr>
    </w:p>
    <w:p>
      <w:pPr>
        <w:spacing w:line="360" w:lineRule="auto"/>
        <w:ind w:left="1606" w:hanging="1606" w:hangingChars="500"/>
        <w:rPr>
          <w:rFonts w:hint="eastAsia" w:ascii="黑体" w:hAnsi="宋体" w:eastAsia="黑体"/>
          <w:b/>
          <w:color w:val="000000"/>
          <w:sz w:val="32"/>
          <w:szCs w:val="32"/>
          <w:lang w:eastAsia="zh-CN"/>
        </w:rPr>
      </w:pPr>
      <w:r>
        <w:rPr>
          <w:rFonts w:hint="eastAsia" w:ascii="黑体" w:hAnsi="宋体" w:eastAsia="黑体"/>
          <w:b/>
          <w:color w:val="000000"/>
          <w:sz w:val="32"/>
          <w:szCs w:val="32"/>
        </w:rPr>
        <w:t>项目名称：</w:t>
      </w:r>
      <w:r>
        <w:rPr>
          <w:rFonts w:hint="eastAsia" w:ascii="黑体" w:hAnsi="宋体" w:eastAsia="黑体"/>
          <w:b/>
          <w:color w:val="000000"/>
          <w:sz w:val="32"/>
          <w:szCs w:val="32"/>
          <w:lang w:eastAsia="zh-CN"/>
        </w:rPr>
        <w:t>顺德检测院烟气预处理机柜及上位机采购项目</w:t>
      </w:r>
    </w:p>
    <w:p>
      <w:pPr>
        <w:spacing w:line="360" w:lineRule="auto"/>
        <w:ind w:left="1767" w:hanging="1767" w:hangingChars="550"/>
        <w:rPr>
          <w:rFonts w:hint="eastAsia" w:ascii="黑体" w:hAnsi="宋体" w:eastAsia="黑体"/>
          <w:b/>
          <w:color w:val="000000"/>
          <w:sz w:val="32"/>
          <w:szCs w:val="32"/>
          <w:highlight w:val="none"/>
          <w:lang w:eastAsia="zh-CN"/>
        </w:rPr>
      </w:pPr>
      <w:r>
        <w:rPr>
          <w:rFonts w:hint="eastAsia" w:ascii="黑体" w:hAnsi="宋体" w:eastAsia="黑体"/>
          <w:b/>
          <w:color w:val="000000"/>
          <w:sz w:val="32"/>
          <w:szCs w:val="32"/>
        </w:rPr>
        <w:t>项目编号：</w:t>
      </w:r>
      <w:r>
        <w:rPr>
          <w:rFonts w:hint="eastAsia" w:ascii="仿宋_GB2312" w:eastAsia="仿宋_GB2312"/>
          <w:b/>
          <w:sz w:val="32"/>
        </w:rPr>
        <w:t xml:space="preserve"> </w:t>
      </w:r>
      <w:r>
        <w:rPr>
          <w:rFonts w:hint="eastAsia" w:ascii="黑体" w:hAnsi="宋体" w:eastAsia="黑体"/>
          <w:b/>
          <w:color w:val="000000"/>
          <w:sz w:val="32"/>
          <w:szCs w:val="32"/>
          <w:highlight w:val="none"/>
        </w:rPr>
        <w:t>S</w:t>
      </w:r>
      <w:r>
        <w:rPr>
          <w:rFonts w:ascii="黑体" w:hAnsi="宋体" w:eastAsia="黑体"/>
          <w:b/>
          <w:color w:val="000000"/>
          <w:sz w:val="32"/>
          <w:szCs w:val="32"/>
          <w:highlight w:val="none"/>
        </w:rPr>
        <w:t>D</w:t>
      </w:r>
      <w:r>
        <w:rPr>
          <w:rFonts w:hint="eastAsia" w:ascii="黑体" w:hAnsi="宋体" w:eastAsia="黑体"/>
          <w:b/>
          <w:color w:val="000000"/>
          <w:sz w:val="32"/>
          <w:szCs w:val="32"/>
          <w:highlight w:val="none"/>
        </w:rPr>
        <w:t>T</w:t>
      </w:r>
      <w:r>
        <w:rPr>
          <w:rFonts w:ascii="黑体" w:hAnsi="宋体" w:eastAsia="黑体"/>
          <w:b/>
          <w:color w:val="000000"/>
          <w:sz w:val="32"/>
          <w:szCs w:val="32"/>
          <w:highlight w:val="none"/>
        </w:rPr>
        <w:t>JY202</w:t>
      </w:r>
      <w:r>
        <w:rPr>
          <w:rFonts w:hint="eastAsia" w:ascii="黑体" w:hAnsi="宋体" w:eastAsia="黑体"/>
          <w:b/>
          <w:color w:val="000000"/>
          <w:sz w:val="32"/>
          <w:szCs w:val="32"/>
          <w:highlight w:val="none"/>
          <w:lang w:val="en-US" w:eastAsia="zh-CN"/>
        </w:rPr>
        <w:t>3</w:t>
      </w:r>
      <w:r>
        <w:rPr>
          <w:rFonts w:ascii="黑体" w:hAnsi="宋体" w:eastAsia="黑体"/>
          <w:b/>
          <w:color w:val="000000"/>
          <w:sz w:val="32"/>
          <w:szCs w:val="32"/>
          <w:highlight w:val="none"/>
        </w:rPr>
        <w:t>00</w:t>
      </w:r>
      <w:r>
        <w:rPr>
          <w:rFonts w:hint="eastAsia" w:ascii="黑体" w:hAnsi="宋体" w:eastAsia="黑体"/>
          <w:b/>
          <w:color w:val="000000"/>
          <w:sz w:val="32"/>
          <w:szCs w:val="32"/>
          <w:highlight w:val="none"/>
          <w:lang w:val="en-US" w:eastAsia="zh-CN"/>
        </w:rPr>
        <w:t>5</w:t>
      </w:r>
    </w:p>
    <w:p>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pPr>
        <w:spacing w:line="360" w:lineRule="auto"/>
        <w:ind w:left="1767" w:hanging="1767" w:hangingChars="550"/>
        <w:rPr>
          <w:rFonts w:ascii="黑体" w:hAnsi="宋体" w:eastAsia="黑体"/>
          <w:b/>
          <w:color w:val="000000"/>
          <w:sz w:val="32"/>
          <w:szCs w:val="32"/>
        </w:rPr>
      </w:pPr>
    </w:p>
    <w:p>
      <w:pPr>
        <w:spacing w:line="360" w:lineRule="auto"/>
        <w:ind w:left="1767" w:hanging="1767" w:hangingChars="550"/>
        <w:rPr>
          <w:rFonts w:ascii="黑体" w:hAnsi="宋体" w:eastAsia="黑体"/>
          <w:b/>
          <w:color w:val="000000"/>
          <w:sz w:val="32"/>
          <w:szCs w:val="32"/>
        </w:rPr>
      </w:pPr>
    </w:p>
    <w:p>
      <w:pPr>
        <w:spacing w:line="360" w:lineRule="auto"/>
        <w:ind w:left="1446" w:hanging="1446" w:hangingChars="400"/>
        <w:rPr>
          <w:rFonts w:ascii="黑体" w:hAnsi="宋体" w:eastAsia="黑体"/>
          <w:b/>
          <w:color w:val="000000"/>
          <w:sz w:val="36"/>
          <w:szCs w:val="36"/>
        </w:rPr>
      </w:pPr>
    </w:p>
    <w:p>
      <w:pPr>
        <w:spacing w:line="312" w:lineRule="auto"/>
        <w:rPr>
          <w:rFonts w:ascii="黑体" w:hAnsi="宋体" w:eastAsia="黑体"/>
          <w:b/>
          <w:color w:val="000000"/>
          <w:sz w:val="32"/>
          <w:szCs w:val="32"/>
          <w:u w:val="single"/>
        </w:rPr>
      </w:pPr>
    </w:p>
    <w:p>
      <w:pPr>
        <w:spacing w:line="312" w:lineRule="auto"/>
        <w:rPr>
          <w:rFonts w:ascii="黑体" w:hAnsi="宋体" w:eastAsia="黑体"/>
          <w:b/>
          <w:color w:val="000000"/>
          <w:sz w:val="32"/>
          <w:szCs w:val="32"/>
        </w:rPr>
      </w:pPr>
    </w:p>
    <w:p>
      <w:pPr>
        <w:spacing w:line="312" w:lineRule="auto"/>
        <w:jc w:val="center"/>
        <w:rPr>
          <w:rFonts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pPr>
        <w:spacing w:line="312" w:lineRule="auto"/>
        <w:jc w:val="center"/>
        <w:rPr>
          <w:rFonts w:hint="default" w:ascii="黑体" w:hAnsi="宋体" w:eastAsia="黑体"/>
          <w:b/>
          <w:color w:val="auto"/>
          <w:sz w:val="32"/>
          <w:szCs w:val="32"/>
          <w:highlight w:val="none"/>
          <w:lang w:val="en-US" w:eastAsia="zh-CN"/>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start="0"/>
          <w:cols w:space="720" w:num="1"/>
          <w:docGrid w:linePitch="462" w:charSpace="0"/>
        </w:sectPr>
      </w:pPr>
      <w:r>
        <w:rPr>
          <w:rFonts w:hint="eastAsia" w:ascii="黑体" w:hAnsi="宋体" w:eastAsia="黑体"/>
          <w:b/>
          <w:color w:val="auto"/>
          <w:sz w:val="32"/>
          <w:szCs w:val="32"/>
          <w:highlight w:val="none"/>
        </w:rPr>
        <w:t>二〇二三年</w:t>
      </w:r>
      <w:r>
        <w:rPr>
          <w:rFonts w:hint="eastAsia" w:ascii="黑体" w:hAnsi="宋体" w:eastAsia="黑体"/>
          <w:b/>
          <w:color w:val="auto"/>
          <w:sz w:val="32"/>
          <w:szCs w:val="32"/>
          <w:highlight w:val="none"/>
          <w:lang w:val="en-US" w:eastAsia="zh-CN"/>
        </w:rPr>
        <w:t>4</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lang w:val="en-US" w:eastAsia="zh-CN"/>
        </w:rPr>
        <w:t>11日</w:t>
      </w:r>
    </w:p>
    <w:p>
      <w:pPr>
        <w:spacing w:line="312" w:lineRule="auto"/>
        <w:jc w:val="center"/>
        <w:rPr>
          <w:rFonts w:ascii="黑体" w:hAnsi="宋体" w:eastAsia="黑体"/>
          <w:b/>
          <w:color w:val="000000"/>
          <w:sz w:val="32"/>
          <w:szCs w:val="32"/>
        </w:rPr>
      </w:pPr>
    </w:p>
    <w:p>
      <w:pPr>
        <w:spacing w:line="360" w:lineRule="auto"/>
        <w:jc w:val="center"/>
        <w:rPr>
          <w:rStyle w:val="31"/>
          <w:rFonts w:ascii="宋体" w:hAnsi="宋体" w:eastAsia="宋体"/>
          <w:color w:val="000000"/>
        </w:rPr>
      </w:pPr>
      <w:r>
        <w:rPr>
          <w:rStyle w:val="31"/>
          <w:rFonts w:hint="eastAsia" w:ascii="宋体" w:hAnsi="宋体" w:eastAsia="宋体"/>
          <w:color w:val="000000"/>
        </w:rPr>
        <w:t>目   录</w:t>
      </w:r>
    </w:p>
    <w:p>
      <w:pPr>
        <w:spacing w:line="360" w:lineRule="auto"/>
        <w:rPr>
          <w:rFonts w:ascii="宋体" w:hAnsi="宋体"/>
          <w:color w:val="000000"/>
        </w:rPr>
      </w:pPr>
    </w:p>
    <w:p>
      <w:pPr>
        <w:pStyle w:val="23"/>
        <w:tabs>
          <w:tab w:val="right" w:leader="dot" w:pos="9639"/>
          <w:tab w:val="clear" w:pos="9017"/>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TOC \o "1-3" \h \z </w:instrText>
      </w:r>
      <w:r>
        <w:rPr>
          <w:rFonts w:ascii="宋体" w:hAnsi="宋体"/>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"_Toc30291" </w:instrText>
      </w:r>
      <w:r>
        <w:rPr>
          <w:color w:val="000000" w:themeColor="text1"/>
          <w14:textFill>
            <w14:solidFill>
              <w14:schemeClr w14:val="tx1"/>
            </w14:solidFill>
          </w14:textFill>
        </w:rPr>
        <w:fldChar w:fldCharType="separate"/>
      </w:r>
      <w:r>
        <w:rPr>
          <w:rFonts w:hint="eastAsia" w:ascii="宋体" w:hAnsi="宋体"/>
          <w:color w:val="000000" w:themeColor="text1"/>
          <w:szCs w:val="72"/>
          <w14:textFill>
            <w14:solidFill>
              <w14:schemeClr w14:val="tx1"/>
            </w14:solidFill>
          </w14:textFill>
        </w:rPr>
        <w:t>第一章 竞价邀请函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_Toc30291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639"/>
          <w:tab w:val="clear" w:pos="901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"_Toc32393" </w:instrText>
      </w:r>
      <w:r>
        <w:rPr>
          <w:color w:val="000000" w:themeColor="text1"/>
          <w14:textFill>
            <w14:solidFill>
              <w14:schemeClr w14:val="tx1"/>
            </w14:solidFill>
          </w14:textFill>
        </w:rPr>
        <w:fldChar w:fldCharType="separate"/>
      </w:r>
      <w:r>
        <w:rPr>
          <w:rFonts w:hint="eastAsia" w:ascii="宋体" w:hAnsi="宋体"/>
          <w:color w:val="000000" w:themeColor="text1"/>
          <w:szCs w:val="72"/>
          <w14:textFill>
            <w14:solidFill>
              <w14:schemeClr w14:val="tx1"/>
            </w14:solidFill>
          </w14:textFill>
        </w:rPr>
        <w:t>第二章 竞投人须知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"_Toc20405"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一、说明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"_Toc1466"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二、本竞价文件的构成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"_Toc29247"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三、竞价文件的修改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"_Toc8035"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四、竞投资格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"_Toc9361"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五、交易保证金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"_Toc292"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六、证明文件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"_Toc12613"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七、竞价方法及注意事项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_Toc12613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"_Toc28871"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八、成交确认书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_Toc28871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"_Toc7751"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九、竞价结果公告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"_Toc32418"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十、签订合同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_Toc32418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"_Toc23596"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十一、处罚机制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"_Toc23599"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十二、其他注意事项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639"/>
          <w:tab w:val="clear" w:pos="901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"_Toc5363" </w:instrText>
      </w:r>
      <w:r>
        <w:rPr>
          <w:color w:val="000000" w:themeColor="text1"/>
          <w14:textFill>
            <w14:solidFill>
              <w14:schemeClr w14:val="tx1"/>
            </w14:solidFill>
          </w14:textFill>
        </w:rPr>
        <w:fldChar w:fldCharType="separate"/>
      </w:r>
      <w:r>
        <w:rPr>
          <w:rFonts w:hint="eastAsia" w:ascii="宋体" w:hAnsi="宋体"/>
          <w:color w:val="000000" w:themeColor="text1"/>
          <w:szCs w:val="72"/>
          <w14:textFill>
            <w14:solidFill>
              <w14:schemeClr w14:val="tx1"/>
            </w14:solidFill>
          </w14:textFill>
        </w:rPr>
        <w:t>第三章 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639"/>
          <w:tab w:val="clear" w:pos="901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"_Toc30767" </w:instrText>
      </w:r>
      <w:r>
        <w:rPr>
          <w:color w:val="000000" w:themeColor="text1"/>
          <w14:textFill>
            <w14:solidFill>
              <w14:schemeClr w14:val="tx1"/>
            </w14:solidFill>
          </w14:textFill>
        </w:rPr>
        <w:fldChar w:fldCharType="separate"/>
      </w:r>
      <w:r>
        <w:rPr>
          <w:rFonts w:hint="eastAsia" w:ascii="宋体" w:hAnsi="宋体"/>
          <w:color w:val="000000" w:themeColor="text1"/>
          <w:szCs w:val="72"/>
          <w14:textFill>
            <w14:solidFill>
              <w14:schemeClr w14:val="tx1"/>
            </w14:solidFill>
          </w14:textFill>
        </w:rPr>
        <w:t>第四章 证明文件格式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"_Toc15891"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封面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_Toc15891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"_Toc5391"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竞投人证明书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"_Toc28620"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法定代表人（其他组织经营者）证明书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"_Toc29558" </w:instrText>
      </w:r>
      <w:r>
        <w:rPr>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（其他组织经营者）</w:t>
      </w:r>
      <w:r>
        <w:rPr>
          <w:rFonts w:ascii="宋体" w:hAnsi="宋体"/>
          <w:color w:val="000000" w:themeColor="text1"/>
          <w14:textFill>
            <w14:solidFill>
              <w14:schemeClr w14:val="tx1"/>
            </w14:solidFill>
          </w14:textFill>
        </w:rPr>
        <w:t>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639"/>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"_Toc21511"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陪同人员证明</w:t>
      </w:r>
      <w:r>
        <w:rPr>
          <w:rFonts w:ascii="宋体" w:hAnsi="宋体"/>
          <w:color w:val="000000" w:themeColor="text1"/>
          <w14:textFill>
            <w14:solidFill>
              <w14:schemeClr w14:val="tx1"/>
            </w14:solidFill>
          </w14:textFill>
        </w:rPr>
        <w:t>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_Toc21511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639"/>
          <w:tab w:val="clear" w:pos="901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"_Toc14870" </w:instrText>
      </w:r>
      <w:r>
        <w:rPr>
          <w:color w:val="000000" w:themeColor="text1"/>
          <w14:textFill>
            <w14:solidFill>
              <w14:schemeClr w14:val="tx1"/>
            </w14:solidFill>
          </w14:textFill>
        </w:rPr>
        <w:fldChar w:fldCharType="separate"/>
      </w:r>
      <w:r>
        <w:rPr>
          <w:rFonts w:hint="eastAsia" w:ascii="宋体" w:hAnsi="宋体"/>
          <w:color w:val="000000" w:themeColor="text1"/>
          <w:szCs w:val="72"/>
          <w14:textFill>
            <w14:solidFill>
              <w14:schemeClr w14:val="tx1"/>
            </w14:solidFill>
          </w14:textFill>
        </w:rPr>
        <w:t>第五章 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5"/>
        <w:tabs>
          <w:tab w:val="right" w:leader="dot" w:pos="9639"/>
          <w:tab w:val="clear" w:pos="900"/>
          <w:tab w:val="clear" w:pos="900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"_Toc20822"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报价表（参考格式）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_Toc20822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fldChar w:fldCharType="end"/>
      </w:r>
    </w:p>
    <w:p>
      <w:pPr>
        <w:pStyle w:val="18"/>
        <w:jc w:val="center"/>
        <w:rPr>
          <w:color w:val="000000"/>
          <w:sz w:val="52"/>
        </w:rPr>
      </w:pPr>
      <w:r>
        <w:rPr>
          <w:color w:val="000000"/>
        </w:rPr>
        <w:br w:type="page"/>
      </w:r>
    </w:p>
    <w:p>
      <w:pPr>
        <w:pStyle w:val="2"/>
        <w:spacing w:line="360" w:lineRule="auto"/>
        <w:rPr>
          <w:rFonts w:ascii="宋体" w:hAnsi="宋体"/>
          <w:color w:val="000000"/>
          <w:sz w:val="72"/>
          <w:szCs w:val="72"/>
        </w:rPr>
      </w:pPr>
    </w:p>
    <w:p>
      <w:pPr>
        <w:rPr>
          <w:color w:val="000000"/>
        </w:rPr>
      </w:pPr>
    </w:p>
    <w:p>
      <w:pPr>
        <w:rPr>
          <w:color w:val="000000"/>
        </w:rPr>
      </w:pPr>
    </w:p>
    <w:p>
      <w:pPr>
        <w:rPr>
          <w:color w:val="000000"/>
        </w:rPr>
      </w:pPr>
    </w:p>
    <w:p>
      <w:pPr>
        <w:pStyle w:val="2"/>
        <w:spacing w:line="360" w:lineRule="auto"/>
        <w:jc w:val="center"/>
        <w:rPr>
          <w:rFonts w:ascii="宋体" w:hAnsi="宋体"/>
          <w:color w:val="000000"/>
          <w:sz w:val="72"/>
          <w:szCs w:val="72"/>
        </w:rPr>
      </w:pPr>
      <w:bookmarkStart w:id="1" w:name="_Toc30291"/>
      <w:bookmarkStart w:id="2" w:name="_Toc10326"/>
      <w:r>
        <w:rPr>
          <w:rFonts w:hint="eastAsia" w:ascii="宋体" w:hAnsi="宋体"/>
          <w:color w:val="000000"/>
          <w:sz w:val="72"/>
          <w:szCs w:val="72"/>
        </w:rPr>
        <w:t>第一章 竞价邀请函</w:t>
      </w:r>
      <w:bookmarkEnd w:id="1"/>
      <w:bookmarkEnd w:id="2"/>
    </w:p>
    <w:p>
      <w:pPr>
        <w:pStyle w:val="18"/>
        <w:rPr>
          <w:rFonts w:ascii="宋体" w:hAnsi="宋体"/>
          <w:color w:val="000000"/>
        </w:rPr>
      </w:pPr>
    </w:p>
    <w:p>
      <w:pPr>
        <w:pStyle w:val="5"/>
        <w:spacing w:before="0" w:after="0" w:line="360" w:lineRule="auto"/>
        <w:jc w:val="center"/>
        <w:rPr>
          <w:rStyle w:val="31"/>
          <w:rFonts w:eastAsia="宋体"/>
          <w:b/>
          <w:bCs w:val="0"/>
          <w:color w:val="000000"/>
          <w:sz w:val="28"/>
        </w:rPr>
      </w:pPr>
      <w:r>
        <w:rPr>
          <w:rFonts w:ascii="宋体" w:hAnsi="宋体" w:eastAsia="宋体"/>
          <w:color w:val="000000"/>
          <w:sz w:val="36"/>
        </w:rPr>
        <w:br w:type="page"/>
      </w:r>
      <w:r>
        <w:rPr>
          <w:rStyle w:val="31"/>
          <w:rFonts w:hint="eastAsia" w:eastAsia="宋体"/>
          <w:b/>
          <w:bCs w:val="0"/>
          <w:color w:val="000000"/>
          <w:sz w:val="28"/>
        </w:rPr>
        <w:t>第一章   竞价邀请函</w:t>
      </w:r>
    </w:p>
    <w:p>
      <w:pPr>
        <w:pStyle w:val="64"/>
        <w:spacing w:line="360" w:lineRule="auto"/>
        <w:ind w:left="239" w:leftChars="114"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广东省特种设备检测研究院顺德检测院（以下简称</w:t>
      </w:r>
      <w:r>
        <w:rPr>
          <w:rFonts w:ascii="宋体" w:hAnsi="宋体" w:cs="宋体"/>
          <w:color w:val="000000"/>
          <w:kern w:val="0"/>
          <w:sz w:val="24"/>
          <w:highlight w:val="none"/>
        </w:rPr>
        <w:t>“</w:t>
      </w:r>
      <w:r>
        <w:rPr>
          <w:rFonts w:hint="eastAsia" w:ascii="宋体" w:hAnsi="宋体" w:cs="宋体"/>
          <w:color w:val="000000"/>
          <w:kern w:val="0"/>
          <w:sz w:val="24"/>
          <w:highlight w:val="none"/>
        </w:rPr>
        <w:t>采购人</w:t>
      </w:r>
      <w:r>
        <w:rPr>
          <w:rFonts w:ascii="宋体" w:hAnsi="宋体" w:cs="宋体"/>
          <w:color w:val="000000"/>
          <w:kern w:val="0"/>
          <w:sz w:val="24"/>
          <w:highlight w:val="none"/>
        </w:rPr>
        <w:t>”</w:t>
      </w:r>
      <w:r>
        <w:rPr>
          <w:rFonts w:hint="eastAsia" w:ascii="宋体" w:hAnsi="宋体" w:cs="宋体"/>
          <w:color w:val="000000"/>
          <w:kern w:val="0"/>
          <w:sz w:val="24"/>
          <w:highlight w:val="none"/>
        </w:rPr>
        <w:t>） 定于2023年</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18</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val="en-US" w:eastAsia="zh-CN"/>
        </w:rPr>
        <w:t>14</w:t>
      </w:r>
      <w:r>
        <w:rPr>
          <w:rFonts w:hint="eastAsia" w:ascii="宋体" w:hAnsi="宋体" w:cs="宋体"/>
          <w:color w:val="000000"/>
          <w:kern w:val="0"/>
          <w:sz w:val="24"/>
          <w:highlight w:val="none"/>
        </w:rPr>
        <w:t>时</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分（北京时间）对</w:t>
      </w:r>
      <w:r>
        <w:rPr>
          <w:rFonts w:hint="eastAsia" w:ascii="宋体" w:hAnsi="宋体" w:cs="宋体"/>
          <w:color w:val="000000"/>
          <w:kern w:val="0"/>
          <w:sz w:val="24"/>
          <w:highlight w:val="none"/>
          <w:lang w:eastAsia="zh-CN"/>
        </w:rPr>
        <w:t>“烟气预处理机柜及上位机采购”</w:t>
      </w:r>
      <w:r>
        <w:rPr>
          <w:rFonts w:hint="eastAsia" w:ascii="宋体" w:hAnsi="宋体" w:cs="宋体"/>
          <w:color w:val="000000"/>
          <w:kern w:val="0"/>
          <w:sz w:val="24"/>
          <w:highlight w:val="none"/>
        </w:rPr>
        <w:t>项目进行竞投，欢迎有意参加竞投的人士报名参与咨询和竞投。</w:t>
      </w:r>
    </w:p>
    <w:p>
      <w:pPr>
        <w:pStyle w:val="64"/>
        <w:numPr>
          <w:ilvl w:val="0"/>
          <w:numId w:val="5"/>
        </w:numPr>
        <w:spacing w:line="360" w:lineRule="auto"/>
        <w:ind w:firstLine="480" w:firstLineChars="200"/>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rPr>
        <w:t>竞投项目编号：</w:t>
      </w:r>
      <w:r>
        <w:rPr>
          <w:rFonts w:ascii="宋体" w:hAnsi="宋体" w:cs="宋体"/>
          <w:color w:val="000000"/>
          <w:kern w:val="0"/>
          <w:sz w:val="24"/>
          <w:highlight w:val="none"/>
        </w:rPr>
        <w:t>SDTJY202</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00</w:t>
      </w:r>
      <w:r>
        <w:rPr>
          <w:rFonts w:hint="eastAsia" w:ascii="宋体" w:hAnsi="宋体" w:cs="宋体"/>
          <w:color w:val="000000"/>
          <w:kern w:val="0"/>
          <w:sz w:val="24"/>
          <w:highlight w:val="none"/>
          <w:lang w:val="en-US" w:eastAsia="zh-CN"/>
        </w:rPr>
        <w:t>5</w:t>
      </w:r>
    </w:p>
    <w:p>
      <w:pPr>
        <w:pStyle w:val="64"/>
        <w:numPr>
          <w:ilvl w:val="0"/>
          <w:numId w:val="5"/>
        </w:numPr>
        <w:spacing w:line="360" w:lineRule="auto"/>
        <w:ind w:firstLine="480" w:firstLineChars="200"/>
        <w:rPr>
          <w:rFonts w:ascii="宋体" w:hAnsi="宋体" w:eastAsia="宋体" w:cs="宋体"/>
          <w:sz w:val="24"/>
          <w:szCs w:val="24"/>
        </w:rPr>
      </w:pPr>
      <w:r>
        <w:rPr>
          <w:rFonts w:hint="eastAsia" w:ascii="宋体" w:hAnsi="宋体" w:cs="宋体"/>
          <w:color w:val="000000"/>
          <w:kern w:val="0"/>
          <w:sz w:val="24"/>
        </w:rPr>
        <w:t>二、项目名称：</w:t>
      </w:r>
      <w:r>
        <w:rPr>
          <w:rFonts w:hint="eastAsia" w:ascii="宋体" w:hAnsi="宋体" w:cs="宋体"/>
          <w:color w:val="000000"/>
          <w:kern w:val="0"/>
          <w:sz w:val="24"/>
          <w:lang w:eastAsia="zh-CN"/>
        </w:rPr>
        <w:t>顺德检测院烟气预处理机柜及上位机采购项目</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三、采购项目预算金额（单位：元）：</w:t>
      </w:r>
      <w:r>
        <w:rPr>
          <w:rFonts w:hint="eastAsia" w:ascii="宋体" w:hAnsi="宋体" w:cs="宋体"/>
          <w:color w:val="000000"/>
          <w:kern w:val="0"/>
          <w:sz w:val="24"/>
          <w:lang w:val="en-US" w:eastAsia="zh-CN"/>
        </w:rPr>
        <w:t>260000</w:t>
      </w:r>
      <w:r>
        <w:rPr>
          <w:rFonts w:hint="eastAsia" w:ascii="宋体" w:hAnsi="宋体" w:cs="宋体"/>
          <w:color w:val="000000"/>
          <w:kern w:val="0"/>
          <w:sz w:val="24"/>
        </w:rPr>
        <w:t>.00</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四、采购项目内容及需求：</w:t>
      </w:r>
    </w:p>
    <w:tbl>
      <w:tblPr>
        <w:tblStyle w:val="29"/>
        <w:tblW w:w="9067" w:type="dxa"/>
        <w:tblInd w:w="113" w:type="dxa"/>
        <w:tblLayout w:type="autofit"/>
        <w:tblCellMar>
          <w:top w:w="0" w:type="dxa"/>
          <w:left w:w="0" w:type="dxa"/>
          <w:bottom w:w="0" w:type="dxa"/>
          <w:right w:w="0" w:type="dxa"/>
        </w:tblCellMar>
      </w:tblPr>
      <w:tblGrid>
        <w:gridCol w:w="704"/>
        <w:gridCol w:w="1276"/>
        <w:gridCol w:w="850"/>
        <w:gridCol w:w="5245"/>
        <w:gridCol w:w="992"/>
      </w:tblGrid>
      <w:tr>
        <w:trPr>
          <w:trHeight w:val="594" w:hRule="atLeast"/>
        </w:trPr>
        <w:tc>
          <w:tcPr>
            <w:tcW w:w="704"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27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采购内容</w:t>
            </w:r>
          </w:p>
        </w:tc>
        <w:tc>
          <w:tcPr>
            <w:tcW w:w="85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524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规格参数要求</w:t>
            </w:r>
          </w:p>
        </w:tc>
        <w:tc>
          <w:tcPr>
            <w:tcW w:w="99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交货期</w:t>
            </w:r>
          </w:p>
        </w:tc>
      </w:tr>
      <w:tr>
        <w:tblPrEx>
          <w:tblCellMar>
            <w:top w:w="0" w:type="dxa"/>
            <w:left w:w="0" w:type="dxa"/>
            <w:bottom w:w="0" w:type="dxa"/>
            <w:right w:w="0" w:type="dxa"/>
          </w:tblCellMar>
        </w:tblPrEx>
        <w:trPr>
          <w:trHeight w:val="520" w:hRule="atLeast"/>
        </w:trPr>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1</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烟气</w:t>
            </w:r>
            <w:r>
              <w:rPr>
                <w:rFonts w:hint="eastAsia" w:ascii="宋体" w:hAnsi="宋体"/>
                <w:color w:val="auto"/>
                <w:szCs w:val="21"/>
                <w:highlight w:val="none"/>
              </w:rPr>
              <w:t>预处理系统及机柜</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套</w:t>
            </w:r>
          </w:p>
        </w:tc>
        <w:tc>
          <w:tcPr>
            <w:tcW w:w="5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hint="eastAsia"/>
                <w:color w:val="auto"/>
                <w:highlight w:val="none"/>
                <w:lang w:eastAsia="zh-CN"/>
              </w:rPr>
            </w:pPr>
            <w:r>
              <w:rPr>
                <w:rFonts w:hint="eastAsia"/>
                <w:color w:val="auto"/>
                <w:highlight w:val="none"/>
              </w:rPr>
              <w:t>分析仪预处理系统适用于</w:t>
            </w:r>
            <w:r>
              <w:rPr>
                <w:rFonts w:hint="eastAsia"/>
                <w:color w:val="auto"/>
                <w:highlight w:val="none"/>
                <w:lang w:val="en-US" w:eastAsia="zh-CN"/>
              </w:rPr>
              <w:t>多</w:t>
            </w:r>
            <w:r>
              <w:rPr>
                <w:rFonts w:hint="eastAsia"/>
                <w:color w:val="auto"/>
                <w:highlight w:val="none"/>
              </w:rPr>
              <w:t>台 CO2/02 气体分析仪前处理。采用压缩机制冷器、耐腐抽气泵、过滤器、精细过滤器、中心反吹单元等。其中关键部件如抽气泵蠕动泵、电磁阀等采用原装进口产品。完成</w:t>
            </w:r>
            <w:r>
              <w:rPr>
                <w:rFonts w:hint="eastAsia"/>
                <w:color w:val="auto"/>
                <w:highlight w:val="none"/>
                <w:lang w:val="en-US" w:eastAsia="zh-CN"/>
              </w:rPr>
              <w:t>烟气</w:t>
            </w:r>
            <w:r>
              <w:rPr>
                <w:rFonts w:hint="eastAsia"/>
                <w:color w:val="auto"/>
                <w:highlight w:val="none"/>
              </w:rPr>
              <w:t>的净化</w:t>
            </w:r>
            <w:r>
              <w:rPr>
                <w:rFonts w:hint="eastAsia"/>
                <w:color w:val="auto"/>
                <w:highlight w:val="none"/>
                <w:lang w:eastAsia="zh-CN"/>
              </w:rPr>
              <w:t>、</w:t>
            </w:r>
            <w:r>
              <w:rPr>
                <w:rFonts w:hint="eastAsia"/>
                <w:color w:val="auto"/>
                <w:highlight w:val="none"/>
              </w:rPr>
              <w:t>除尘、除湿，其过滤精度≤0.2</w:t>
            </w:r>
            <w:r>
              <w:rPr>
                <w:rFonts w:hint="eastAsia"/>
                <w:color w:val="auto"/>
                <w:highlight w:val="none"/>
                <w:lang w:val="en-US" w:eastAsia="zh-CN"/>
              </w:rPr>
              <w:t>u</w:t>
            </w:r>
            <w:r>
              <w:rPr>
                <w:rFonts w:hint="eastAsia"/>
                <w:color w:val="auto"/>
                <w:highlight w:val="none"/>
              </w:rPr>
              <w:t>，将符合分析仪器要求的超净、恒温、流量稳定的</w:t>
            </w:r>
            <w:r>
              <w:rPr>
                <w:rFonts w:hint="eastAsia"/>
                <w:color w:val="auto"/>
                <w:highlight w:val="none"/>
                <w:lang w:val="en-US" w:eastAsia="zh-CN"/>
              </w:rPr>
              <w:t>烟气</w:t>
            </w:r>
            <w:r>
              <w:rPr>
                <w:rFonts w:hint="eastAsia"/>
                <w:color w:val="auto"/>
                <w:highlight w:val="none"/>
              </w:rPr>
              <w:t>，源源不断送入分析仪器。机柜功能控制</w:t>
            </w:r>
            <w:r>
              <w:rPr>
                <w:rFonts w:hint="eastAsia"/>
                <w:color w:val="auto"/>
                <w:highlight w:val="none"/>
                <w:lang w:val="en-US" w:eastAsia="zh-CN"/>
              </w:rPr>
              <w:t>器</w:t>
            </w:r>
            <w:r>
              <w:rPr>
                <w:rFonts w:hint="eastAsia"/>
                <w:color w:val="auto"/>
                <w:highlight w:val="none"/>
              </w:rPr>
              <w:t>PLC 采用西门子品牌，空开、按钮、继电器、端子排选用西门子施耐德、魏德米勒品牌</w:t>
            </w:r>
            <w:r>
              <w:rPr>
                <w:rFonts w:hint="eastAsia"/>
                <w:color w:val="auto"/>
                <w:highlight w:val="none"/>
                <w:lang w:eastAsia="zh-CN"/>
              </w:rPr>
              <w:t>。</w:t>
            </w:r>
          </w:p>
          <w:p>
            <w:pPr>
              <w:spacing w:line="360" w:lineRule="auto"/>
              <w:rPr>
                <w:rFonts w:hint="eastAsia"/>
                <w:color w:val="auto"/>
                <w:highlight w:val="none"/>
                <w:lang w:eastAsia="zh-CN"/>
              </w:rPr>
            </w:pPr>
            <w:r>
              <w:rPr>
                <w:rFonts w:hint="eastAsia"/>
                <w:color w:val="auto"/>
                <w:highlight w:val="none"/>
                <w:lang w:eastAsia="zh-CN"/>
              </w:rPr>
              <w:t>机柜尺寸： 800X600X2100；</w:t>
            </w:r>
          </w:p>
          <w:p>
            <w:pPr>
              <w:spacing w:line="360" w:lineRule="auto"/>
              <w:rPr>
                <w:rFonts w:hint="eastAsia" w:eastAsia="宋体"/>
                <w:color w:val="auto"/>
                <w:highlight w:val="none"/>
                <w:lang w:eastAsia="zh-CN"/>
              </w:rPr>
            </w:pPr>
            <w:r>
              <w:rPr>
                <w:rFonts w:hint="eastAsia"/>
                <w:color w:val="auto"/>
                <w:highlight w:val="none"/>
              </w:rPr>
              <w:t>机柜材质</w:t>
            </w:r>
            <w:r>
              <w:rPr>
                <w:rFonts w:hint="eastAsia"/>
                <w:color w:val="auto"/>
                <w:highlight w:val="none"/>
                <w:lang w:eastAsia="zh-CN"/>
              </w:rPr>
              <w:t>；</w:t>
            </w:r>
            <w:r>
              <w:rPr>
                <w:rFonts w:hint="eastAsia"/>
                <w:color w:val="auto"/>
                <w:highlight w:val="none"/>
              </w:rPr>
              <w:t>碳钢喷塑</w:t>
            </w:r>
            <w:r>
              <w:rPr>
                <w:rFonts w:hint="eastAsia"/>
                <w:color w:val="auto"/>
                <w:highlight w:val="none"/>
                <w:lang w:eastAsia="zh-CN"/>
              </w:rPr>
              <w:t>；</w:t>
            </w:r>
          </w:p>
          <w:p>
            <w:pPr>
              <w:spacing w:line="360" w:lineRule="auto"/>
              <w:rPr>
                <w:rFonts w:hint="eastAsia" w:eastAsia="宋体"/>
                <w:color w:val="auto"/>
                <w:highlight w:val="none"/>
                <w:lang w:eastAsia="zh-CN"/>
              </w:rPr>
            </w:pPr>
            <w:r>
              <w:rPr>
                <w:rFonts w:hint="eastAsia"/>
                <w:color w:val="auto"/>
                <w:highlight w:val="none"/>
              </w:rPr>
              <w:t>机柜颜色</w:t>
            </w:r>
            <w:r>
              <w:rPr>
                <w:rFonts w:hint="eastAsia"/>
                <w:color w:val="auto"/>
                <w:highlight w:val="none"/>
                <w:lang w:eastAsia="zh-CN"/>
              </w:rPr>
              <w:t>：</w:t>
            </w:r>
            <w:r>
              <w:rPr>
                <w:rFonts w:hint="eastAsia"/>
                <w:color w:val="auto"/>
                <w:highlight w:val="none"/>
              </w:rPr>
              <w:t>RAL7035</w:t>
            </w:r>
            <w:r>
              <w:rPr>
                <w:rFonts w:hint="eastAsia"/>
                <w:color w:val="auto"/>
                <w:highlight w:val="none"/>
                <w:lang w:eastAsia="zh-CN"/>
              </w:rPr>
              <w:t>；</w:t>
            </w:r>
          </w:p>
          <w:p>
            <w:pPr>
              <w:spacing w:line="360" w:lineRule="auto"/>
              <w:rPr>
                <w:rFonts w:hint="eastAsia"/>
                <w:color w:val="auto"/>
                <w:highlight w:val="none"/>
              </w:rPr>
            </w:pPr>
            <w:r>
              <w:rPr>
                <w:rFonts w:hint="eastAsia"/>
                <w:color w:val="auto"/>
                <w:highlight w:val="none"/>
              </w:rPr>
              <w:t>分析柜机械强度满足起吊、拖运、运输及支撑墙面安装设备的要求。</w:t>
            </w:r>
          </w:p>
        </w:tc>
        <w:tc>
          <w:tcPr>
            <w:tcW w:w="99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olor w:val="auto"/>
                <w:szCs w:val="21"/>
                <w:highlight w:val="none"/>
              </w:rPr>
            </w:pPr>
            <w:r>
              <w:rPr>
                <w:rFonts w:hint="eastAsia" w:ascii="宋体" w:hAnsi="宋体"/>
                <w:color w:val="auto"/>
                <w:szCs w:val="21"/>
                <w:highlight w:val="none"/>
              </w:rPr>
              <w:t>签订合同之日起</w:t>
            </w:r>
            <w:r>
              <w:rPr>
                <w:rFonts w:ascii="宋体" w:hAnsi="宋体"/>
                <w:color w:val="auto"/>
                <w:szCs w:val="21"/>
                <w:highlight w:val="none"/>
              </w:rPr>
              <w:t>30</w:t>
            </w:r>
            <w:r>
              <w:rPr>
                <w:rFonts w:hint="eastAsia" w:ascii="宋体" w:hAnsi="宋体"/>
                <w:color w:val="auto"/>
                <w:szCs w:val="21"/>
                <w:highlight w:val="none"/>
              </w:rPr>
              <w:t>日内</w:t>
            </w:r>
          </w:p>
        </w:tc>
      </w:tr>
      <w:tr>
        <w:tblPrEx>
          <w:tblCellMar>
            <w:top w:w="0" w:type="dxa"/>
            <w:left w:w="0" w:type="dxa"/>
            <w:bottom w:w="0" w:type="dxa"/>
            <w:right w:w="0" w:type="dxa"/>
          </w:tblCellMar>
        </w:tblPrEx>
        <w:trPr>
          <w:trHeight w:val="400" w:hRule="atLeast"/>
        </w:trPr>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上位机</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台</w:t>
            </w:r>
          </w:p>
        </w:tc>
        <w:tc>
          <w:tcPr>
            <w:tcW w:w="5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cs="Arial"/>
                <w:color w:val="auto"/>
                <w:szCs w:val="21"/>
                <w:highlight w:val="none"/>
              </w:rPr>
              <w:t>嵌入式一体工控机C</w:t>
            </w:r>
            <w:r>
              <w:rPr>
                <w:rFonts w:cs="Arial"/>
                <w:color w:val="auto"/>
                <w:szCs w:val="21"/>
                <w:highlight w:val="none"/>
              </w:rPr>
              <w:t>UP</w:t>
            </w:r>
            <w:r>
              <w:rPr>
                <w:rFonts w:hint="eastAsia" w:cs="Arial"/>
                <w:color w:val="auto"/>
                <w:szCs w:val="21"/>
                <w:highlight w:val="none"/>
              </w:rPr>
              <w:t>四核，内存4</w:t>
            </w:r>
            <w:r>
              <w:rPr>
                <w:rFonts w:cs="Arial"/>
                <w:color w:val="auto"/>
                <w:szCs w:val="21"/>
                <w:highlight w:val="none"/>
              </w:rPr>
              <w:t>G</w:t>
            </w:r>
            <w:r>
              <w:rPr>
                <w:rFonts w:hint="eastAsia" w:cs="Arial"/>
                <w:color w:val="auto"/>
                <w:szCs w:val="21"/>
                <w:highlight w:val="none"/>
              </w:rPr>
              <w:t>以上，硬盘</w:t>
            </w:r>
            <w:r>
              <w:rPr>
                <w:rFonts w:hint="eastAsia" w:cs="Arial"/>
                <w:color w:val="auto"/>
                <w:szCs w:val="21"/>
                <w:highlight w:val="none"/>
                <w:lang w:val="en-US" w:eastAsia="zh-CN"/>
              </w:rPr>
              <w:t>120G</w:t>
            </w:r>
            <w:r>
              <w:rPr>
                <w:rFonts w:hint="eastAsia" w:cs="Arial"/>
                <w:color w:val="auto"/>
                <w:szCs w:val="21"/>
                <w:highlight w:val="none"/>
              </w:rPr>
              <w:t>。含正版操作系统</w:t>
            </w:r>
          </w:p>
        </w:tc>
        <w:tc>
          <w:tcPr>
            <w:tcW w:w="99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olor w:val="auto"/>
                <w:szCs w:val="21"/>
                <w:highlight w:val="none"/>
              </w:rPr>
            </w:pPr>
          </w:p>
        </w:tc>
      </w:tr>
      <w:tr>
        <w:tblPrEx>
          <w:tblCellMar>
            <w:top w:w="0" w:type="dxa"/>
            <w:left w:w="0" w:type="dxa"/>
            <w:bottom w:w="0" w:type="dxa"/>
            <w:right w:w="0" w:type="dxa"/>
          </w:tblCellMar>
        </w:tblPrEx>
        <w:trPr>
          <w:trHeight w:val="400" w:hRule="atLeast"/>
        </w:trPr>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备件</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4套</w:t>
            </w:r>
          </w:p>
        </w:tc>
        <w:tc>
          <w:tcPr>
            <w:tcW w:w="5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含C</w:t>
            </w:r>
            <w:r>
              <w:rPr>
                <w:rFonts w:ascii="宋体" w:hAnsi="宋体"/>
                <w:color w:val="auto"/>
                <w:szCs w:val="21"/>
                <w:highlight w:val="none"/>
              </w:rPr>
              <w:t>O2\O2</w:t>
            </w:r>
            <w:r>
              <w:rPr>
                <w:rFonts w:hint="eastAsia" w:ascii="宋体" w:hAnsi="宋体"/>
                <w:color w:val="auto"/>
                <w:szCs w:val="21"/>
                <w:highlight w:val="none"/>
              </w:rPr>
              <w:t>标气，一年质保期内运行所需备件</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olor w:val="auto"/>
                <w:szCs w:val="21"/>
                <w:highlight w:val="none"/>
              </w:rPr>
            </w:pPr>
          </w:p>
        </w:tc>
      </w:tr>
    </w:tbl>
    <w:p>
      <w:pPr>
        <w:pStyle w:val="17"/>
        <w:tabs>
          <w:tab w:val="left" w:pos="540"/>
        </w:tabs>
        <w:spacing w:line="280" w:lineRule="exact"/>
        <w:ind w:firstLine="361" w:firstLineChars="200"/>
        <w:rPr>
          <w:rFonts w:hAnsi="宋体" w:cs="宋体"/>
          <w:bCs/>
          <w:sz w:val="18"/>
          <w:szCs w:val="18"/>
        </w:rPr>
      </w:pPr>
      <w:r>
        <w:rPr>
          <w:rFonts w:hint="eastAsia" w:hAnsi="宋体" w:cs="宋体"/>
          <w:b/>
          <w:bCs/>
          <w:color w:val="000000"/>
          <w:kern w:val="0"/>
          <w:sz w:val="18"/>
          <w:szCs w:val="18"/>
        </w:rPr>
        <w:t>注：</w:t>
      </w:r>
      <w:r>
        <w:rPr>
          <w:rFonts w:hint="eastAsia" w:hAnsi="宋体"/>
          <w:sz w:val="18"/>
          <w:szCs w:val="18"/>
        </w:rPr>
        <w:t>本项目采用总价包干，投标报价（</w:t>
      </w:r>
      <w:r>
        <w:rPr>
          <w:rFonts w:hint="eastAsia" w:hAnsi="宋体"/>
          <w:bCs/>
          <w:sz w:val="18"/>
          <w:szCs w:val="18"/>
        </w:rPr>
        <w:t>包括</w:t>
      </w:r>
      <w:r>
        <w:rPr>
          <w:rFonts w:hint="eastAsia" w:hAnsi="宋体"/>
          <w:sz w:val="18"/>
          <w:szCs w:val="18"/>
        </w:rPr>
        <w:t>但不仅限于）：</w:t>
      </w:r>
      <w:r>
        <w:rPr>
          <w:rFonts w:hint="eastAsia" w:hAnsi="宋体" w:cs="宋体"/>
          <w:sz w:val="18"/>
          <w:szCs w:val="18"/>
        </w:rPr>
        <w:t>货物及零配件、</w:t>
      </w:r>
      <w:r>
        <w:rPr>
          <w:rFonts w:hint="eastAsia" w:hAnsi="宋体" w:cs="宋体"/>
          <w:bCs/>
          <w:sz w:val="18"/>
          <w:szCs w:val="18"/>
        </w:rPr>
        <w:t>人工费、</w:t>
      </w:r>
      <w:r>
        <w:rPr>
          <w:rFonts w:hint="eastAsia" w:hAnsi="宋体" w:cs="宋体"/>
          <w:sz w:val="18"/>
          <w:szCs w:val="18"/>
        </w:rPr>
        <w:t>运输费、保险费、调试费、材料费</w:t>
      </w:r>
      <w:r>
        <w:rPr>
          <w:rFonts w:hint="eastAsia" w:hAnsi="宋体" w:cs="宋体"/>
          <w:bCs/>
          <w:sz w:val="18"/>
          <w:szCs w:val="18"/>
        </w:rPr>
        <w:t>、</w:t>
      </w:r>
      <w:r>
        <w:rPr>
          <w:rFonts w:hint="eastAsia" w:hAnsi="宋体" w:cs="宋体"/>
          <w:bCs/>
          <w:sz w:val="18"/>
          <w:szCs w:val="18"/>
          <w:lang w:val="en-US" w:eastAsia="zh-CN"/>
        </w:rPr>
        <w:t>计量费、</w:t>
      </w:r>
      <w:r>
        <w:rPr>
          <w:rFonts w:hint="eastAsia" w:hAnsi="宋体" w:cs="宋体"/>
          <w:sz w:val="18"/>
          <w:szCs w:val="18"/>
        </w:rPr>
        <w:t>技术服务费（含联络费、培训费、保修费）、各项税费及合同实施过程中应预见和不可预见费用</w:t>
      </w:r>
      <w:r>
        <w:rPr>
          <w:rFonts w:hint="eastAsia" w:hAnsi="宋体"/>
          <w:sz w:val="18"/>
          <w:szCs w:val="18"/>
        </w:rPr>
        <w:t>（包括人工、材料、机械、设备等的市场价格上涨风险</w:t>
      </w:r>
      <w:r>
        <w:rPr>
          <w:rFonts w:hint="eastAsia" w:hAnsi="宋体"/>
          <w:bCs/>
          <w:sz w:val="18"/>
          <w:szCs w:val="18"/>
        </w:rPr>
        <w:t>的</w:t>
      </w:r>
      <w:r>
        <w:rPr>
          <w:rFonts w:hint="eastAsia" w:hAnsi="宋体"/>
          <w:sz w:val="18"/>
          <w:szCs w:val="18"/>
        </w:rPr>
        <w:t>费用）</w:t>
      </w:r>
      <w:r>
        <w:rPr>
          <w:rFonts w:hint="eastAsia" w:hAnsi="宋体" w:cs="宋体"/>
          <w:sz w:val="18"/>
          <w:szCs w:val="18"/>
        </w:rPr>
        <w:t>等完成本采购内容所需的一切费用</w:t>
      </w:r>
      <w:r>
        <w:rPr>
          <w:rFonts w:hint="eastAsia" w:hAnsi="宋体"/>
          <w:bCs/>
          <w:sz w:val="18"/>
          <w:szCs w:val="18"/>
          <w:lang w:val="zh-CN"/>
        </w:rPr>
        <w:t>，除以上费用，</w:t>
      </w:r>
      <w:r>
        <w:rPr>
          <w:rFonts w:hint="eastAsia" w:hAnsi="宋体" w:cs="宋体"/>
          <w:bCs/>
          <w:sz w:val="18"/>
          <w:szCs w:val="18"/>
        </w:rPr>
        <w:t>采购人不再支付其他费用。</w:t>
      </w:r>
    </w:p>
    <w:p>
      <w:pPr>
        <w:pStyle w:val="103"/>
        <w:spacing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pPr>
        <w:pStyle w:val="64"/>
        <w:spacing w:line="360" w:lineRule="auto"/>
        <w:ind w:firstLine="480" w:firstLineChars="200"/>
        <w:rPr>
          <w:rFonts w:ascii="宋体" w:hAnsi="宋体" w:cs="仿宋_GB2312"/>
          <w:color w:val="000000"/>
          <w:sz w:val="24"/>
        </w:rPr>
      </w:pPr>
      <w:r>
        <w:rPr>
          <w:rFonts w:hint="eastAsia" w:ascii="宋体" w:hAnsi="宋体" w:cs="仿宋_GB2312"/>
          <w:sz w:val="24"/>
        </w:rPr>
        <w:t>（二）竞投人应具有独立法人资格并依法取得营业执照，营业执照处于有效期。</w:t>
      </w:r>
    </w:p>
    <w:p>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（三）竞投人如果是法人或其他组织的，参加报价的必须是法定代表人（负责人）或法定代表人（负责人）的授权代表。</w:t>
      </w:r>
    </w:p>
    <w:p>
      <w:pPr>
        <w:pStyle w:val="64"/>
        <w:spacing w:line="360" w:lineRule="auto"/>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1、若出现两位或两位以上竞投人的报价相同且同为最低报价，未能确定竞得人的，通过摇珠或抽签方式确定竞得人。</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2、若全体合资格竞投人均不到场，或到场后因竞投人不报价、全部报价均无效等原因造成不能确定竞得人的，另行组织交易。</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（二）若无人报名或少于三位合资格的竞投人，另行组织交易。</w:t>
      </w:r>
    </w:p>
    <w:p>
      <w:pPr>
        <w:pStyle w:val="64"/>
        <w:snapToGrid w:val="0"/>
        <w:spacing w:line="440" w:lineRule="exact"/>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七、报名时间、地址及方式</w:t>
      </w:r>
    </w:p>
    <w:p>
      <w:pPr>
        <w:pStyle w:val="64"/>
        <w:snapToGrid w:val="0"/>
        <w:spacing w:line="440" w:lineRule="exact"/>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（一）时间：</w:t>
      </w:r>
      <w:r>
        <w:rPr>
          <w:rFonts w:ascii="宋体" w:hAnsi="宋体" w:cs="宋体"/>
          <w:color w:val="000000"/>
          <w:kern w:val="0"/>
          <w:sz w:val="24"/>
          <w:highlight w:val="none"/>
        </w:rPr>
        <w:t>20</w:t>
      </w:r>
      <w:r>
        <w:rPr>
          <w:rFonts w:hint="eastAsia" w:ascii="宋体" w:hAnsi="宋体" w:cs="宋体"/>
          <w:color w:val="000000"/>
          <w:kern w:val="0"/>
          <w:sz w:val="24"/>
          <w:highlight w:val="none"/>
        </w:rPr>
        <w:t>23年</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val="en-US" w:eastAsia="zh-CN"/>
        </w:rPr>
        <w:t>14:00</w:t>
      </w:r>
      <w:r>
        <w:rPr>
          <w:rFonts w:hint="eastAsia" w:ascii="宋体" w:hAnsi="宋体" w:cs="宋体"/>
          <w:color w:val="000000"/>
          <w:kern w:val="0"/>
          <w:sz w:val="24"/>
          <w:highlight w:val="none"/>
        </w:rPr>
        <w:t>至</w:t>
      </w:r>
      <w:r>
        <w:rPr>
          <w:rFonts w:ascii="宋体" w:hAnsi="宋体" w:cs="宋体"/>
          <w:color w:val="000000"/>
          <w:kern w:val="0"/>
          <w:sz w:val="24"/>
          <w:highlight w:val="none"/>
        </w:rPr>
        <w:t>20</w:t>
      </w:r>
      <w:r>
        <w:rPr>
          <w:rFonts w:hint="eastAsia" w:ascii="宋体" w:hAnsi="宋体" w:cs="宋体"/>
          <w:color w:val="000000"/>
          <w:kern w:val="0"/>
          <w:sz w:val="24"/>
          <w:highlight w:val="none"/>
        </w:rPr>
        <w:t>23年</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18</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val="en-US" w:eastAsia="zh-CN"/>
        </w:rPr>
        <w:t xml:space="preserve">12:00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接受报名时间为：</w:t>
      </w:r>
      <w:r>
        <w:rPr>
          <w:rFonts w:hint="eastAsia" w:ascii="宋体" w:hAnsi="宋体" w:cs="宋体"/>
          <w:color w:val="000000"/>
          <w:kern w:val="0"/>
          <w:sz w:val="24"/>
          <w:highlight w:val="none"/>
        </w:rPr>
        <w:t>8:3</w:t>
      </w:r>
      <w:r>
        <w:rPr>
          <w:rFonts w:ascii="宋体" w:hAnsi="宋体" w:cs="宋体"/>
          <w:color w:val="000000"/>
          <w:kern w:val="0"/>
          <w:sz w:val="24"/>
          <w:highlight w:val="none"/>
        </w:rPr>
        <w:t>0—1</w:t>
      </w:r>
      <w:r>
        <w:rPr>
          <w:rFonts w:hint="eastAsia" w:ascii="宋体" w:hAnsi="宋体" w:cs="宋体"/>
          <w:color w:val="000000"/>
          <w:kern w:val="0"/>
          <w:sz w:val="24"/>
          <w:highlight w:val="none"/>
        </w:rPr>
        <w:t>2:0</w:t>
      </w:r>
      <w:r>
        <w:rPr>
          <w:rFonts w:ascii="宋体" w:hAnsi="宋体" w:cs="宋体"/>
          <w:color w:val="000000"/>
          <w:kern w:val="0"/>
          <w:sz w:val="24"/>
          <w:highlight w:val="none"/>
        </w:rPr>
        <w:t>0</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14</w:t>
      </w:r>
      <w:r>
        <w:rPr>
          <w:rFonts w:hint="eastAsia" w:ascii="宋体" w:hAnsi="宋体" w:cs="宋体"/>
          <w:color w:val="000000"/>
          <w:kern w:val="0"/>
          <w:sz w:val="24"/>
          <w:highlight w:val="none"/>
        </w:rPr>
        <w:t>:0</w:t>
      </w:r>
      <w:r>
        <w:rPr>
          <w:rFonts w:ascii="宋体" w:hAnsi="宋体" w:cs="宋体"/>
          <w:color w:val="000000"/>
          <w:kern w:val="0"/>
          <w:sz w:val="24"/>
          <w:highlight w:val="none"/>
        </w:rPr>
        <w:t>0—</w:t>
      </w:r>
      <w:r>
        <w:rPr>
          <w:rFonts w:hint="eastAsia" w:ascii="宋体" w:hAnsi="宋体" w:cs="宋体"/>
          <w:color w:val="000000"/>
          <w:kern w:val="0"/>
          <w:sz w:val="24"/>
          <w:highlight w:val="none"/>
          <w:lang w:val="en-US" w:eastAsia="zh-CN"/>
        </w:rPr>
        <w:t>17</w:t>
      </w:r>
      <w:r>
        <w:rPr>
          <w:rFonts w:hint="eastAsia" w:ascii="宋体" w:hAnsi="宋体" w:cs="宋体"/>
          <w:color w:val="000000"/>
          <w:kern w:val="0"/>
          <w:sz w:val="24"/>
          <w:highlight w:val="none"/>
        </w:rPr>
        <w:t>:</w:t>
      </w:r>
      <w:r>
        <w:rPr>
          <w:rFonts w:ascii="宋体" w:hAnsi="宋体" w:cs="宋体"/>
          <w:color w:val="000000"/>
          <w:kern w:val="0"/>
          <w:sz w:val="24"/>
          <w:highlight w:val="none"/>
        </w:rPr>
        <w:t>00</w:t>
      </w:r>
      <w:r>
        <w:rPr>
          <w:rFonts w:hint="eastAsia" w:ascii="宋体" w:hAnsi="宋体" w:cs="宋体"/>
          <w:color w:val="000000"/>
          <w:kern w:val="0"/>
          <w:sz w:val="24"/>
          <w:highlight w:val="none"/>
        </w:rPr>
        <w:t>（北京时间）</w:t>
      </w:r>
      <w:r>
        <w:rPr>
          <w:rFonts w:hint="eastAsia" w:ascii="宋体" w:hAnsi="宋体" w:cs="宋体"/>
          <w:color w:val="000000"/>
          <w:kern w:val="0"/>
          <w:sz w:val="24"/>
          <w:highlight w:val="none"/>
          <w:lang w:eastAsia="zh-CN"/>
        </w:rPr>
        <w:t>）</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（二）地址：广东省佛山市顺德区陈村镇广隆工业区兴业六路3号（国家工业锅炉质量检验检测中心（广东））。</w:t>
      </w:r>
    </w:p>
    <w:p>
      <w:pPr>
        <w:pStyle w:val="64"/>
        <w:snapToGrid w:val="0"/>
        <w:spacing w:line="440" w:lineRule="exact"/>
        <w:ind w:firstLine="480" w:firstLineChars="200"/>
        <w:rPr>
          <w:rFonts w:ascii="宋体" w:hAnsi="宋体" w:cs="宋体"/>
          <w:color w:val="000000"/>
          <w:kern w:val="0"/>
          <w:sz w:val="24"/>
          <w:highlight w:val="yellow"/>
        </w:rPr>
      </w:pPr>
      <w:r>
        <w:rPr>
          <w:rFonts w:hint="eastAsia" w:ascii="宋体" w:hAnsi="宋体" w:cs="宋体"/>
          <w:color w:val="000000"/>
          <w:kern w:val="0"/>
          <w:sz w:val="24"/>
        </w:rPr>
        <w:t>（三）本采购项目仅接受电子版报名，请各竞投人通过发送邮件的方式报名，报名联系邮箱chenwei@gdsei.org.cn。</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（四）报名注意事项 </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1、本项目不接受联合体报名。</w:t>
      </w:r>
    </w:p>
    <w:p>
      <w:pPr>
        <w:pStyle w:val="64"/>
        <w:snapToGrid w:val="0"/>
        <w:spacing w:line="440" w:lineRule="exact"/>
        <w:ind w:firstLine="480" w:firstLineChars="200"/>
        <w:rPr>
          <w:rFonts w:ascii="宋体" w:hAnsi="宋体"/>
          <w:color w:val="000000"/>
          <w:sz w:val="24"/>
        </w:rPr>
      </w:pPr>
      <w:r>
        <w:rPr>
          <w:rFonts w:hint="eastAsia" w:ascii="宋体" w:hAnsi="宋体"/>
          <w:color w:val="000000"/>
          <w:kern w:val="0"/>
          <w:sz w:val="24"/>
        </w:rPr>
        <w:t>2、</w:t>
      </w:r>
      <w:r>
        <w:rPr>
          <w:rFonts w:hint="eastAsia" w:ascii="宋体" w:hAnsi="宋体"/>
          <w:color w:val="000000"/>
          <w:sz w:val="24"/>
        </w:rPr>
        <w:t>法定代表人（负责人）为同一人或者存在控股关系的不同单位，不得参加同一项目的竞投。同一标的物一人只能报一次名。</w:t>
      </w:r>
    </w:p>
    <w:p>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（五）报名需提交的资料</w:t>
      </w:r>
    </w:p>
    <w:p>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（1）竞价人的营业执照原件扫描件</w:t>
      </w:r>
    </w:p>
    <w:p>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（2）企业信用证明资料（国家企业信用信息公示系统查询截图等）</w:t>
      </w:r>
    </w:p>
    <w:p>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（3）竞价人企业简介（非必要资料，如有，可提供）</w:t>
      </w:r>
    </w:p>
    <w:p>
      <w:pPr>
        <w:pStyle w:val="64"/>
        <w:spacing w:line="440" w:lineRule="exact"/>
        <w:ind w:firstLine="482" w:firstLineChars="200"/>
        <w:rPr>
          <w:rFonts w:ascii="宋体" w:hAnsi="宋体"/>
          <w:b/>
          <w:bCs/>
          <w:sz w:val="24"/>
        </w:rPr>
      </w:pPr>
      <w:r>
        <w:rPr>
          <w:rFonts w:hint="eastAsia" w:ascii="宋体" w:hAnsi="宋体"/>
          <w:b/>
          <w:bCs/>
          <w:sz w:val="24"/>
        </w:rPr>
        <w:t>八、交易保证金</w:t>
      </w:r>
    </w:p>
    <w:p>
      <w:pPr>
        <w:pStyle w:val="64"/>
        <w:spacing w:line="440" w:lineRule="exact"/>
        <w:ind w:firstLine="480" w:firstLineChars="200"/>
        <w:rPr>
          <w:rFonts w:ascii="宋体" w:hAnsi="宋体" w:cs="宋体"/>
          <w:sz w:val="24"/>
        </w:rPr>
      </w:pPr>
      <w:r>
        <w:rPr>
          <w:rFonts w:hint="eastAsia" w:ascii="宋体" w:hAnsi="宋体"/>
          <w:sz w:val="24"/>
        </w:rPr>
        <w:t>此次竞投不收取交易保证金。</w:t>
      </w:r>
    </w:p>
    <w:p>
      <w:pPr>
        <w:pStyle w:val="64"/>
        <w:spacing w:line="440" w:lineRule="exact"/>
        <w:ind w:firstLine="482" w:firstLineChars="200"/>
        <w:rPr>
          <w:rFonts w:ascii="宋体" w:hAnsi="宋体"/>
          <w:b/>
          <w:bCs/>
          <w:sz w:val="24"/>
        </w:rPr>
      </w:pPr>
      <w:r>
        <w:rPr>
          <w:rFonts w:hint="eastAsia" w:ascii="宋体" w:hAnsi="宋体"/>
          <w:b/>
          <w:bCs/>
          <w:sz w:val="24"/>
        </w:rPr>
        <w:t>九、竞投环节</w:t>
      </w:r>
    </w:p>
    <w:p>
      <w:pPr>
        <w:pStyle w:val="64"/>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rPr>
        <w:t>（一）提交竞投材料及签到时间：本次提交材料采取线上提交的方式。报名的竞投人请</w:t>
      </w:r>
      <w:r>
        <w:rPr>
          <w:rFonts w:hint="eastAsia" w:ascii="宋体" w:hAnsi="宋体" w:cs="宋体"/>
          <w:color w:val="000000"/>
          <w:kern w:val="0"/>
          <w:sz w:val="24"/>
          <w:highlight w:val="none"/>
        </w:rPr>
        <w:t>于</w:t>
      </w:r>
      <w:r>
        <w:rPr>
          <w:rFonts w:ascii="宋体" w:hAnsi="宋体" w:cs="宋体"/>
          <w:kern w:val="0"/>
          <w:sz w:val="24"/>
          <w:highlight w:val="none"/>
          <w:lang w:bidi="ar"/>
        </w:rPr>
        <w:t>2</w:t>
      </w:r>
      <w:r>
        <w:rPr>
          <w:rFonts w:ascii="宋体" w:hAnsi="宋体" w:cs="宋体"/>
          <w:color w:val="auto"/>
          <w:kern w:val="0"/>
          <w:sz w:val="24"/>
          <w:highlight w:val="none"/>
          <w:lang w:bidi="ar"/>
        </w:rPr>
        <w:t>0</w:t>
      </w:r>
      <w:r>
        <w:rPr>
          <w:rFonts w:hint="eastAsia" w:ascii="宋体" w:hAnsi="宋体" w:cs="宋体"/>
          <w:color w:val="auto"/>
          <w:kern w:val="0"/>
          <w:sz w:val="24"/>
          <w:highlight w:val="none"/>
          <w:lang w:bidi="ar"/>
        </w:rPr>
        <w:t>2</w:t>
      </w:r>
      <w:r>
        <w:rPr>
          <w:rFonts w:ascii="宋体" w:hAnsi="宋体" w:cs="宋体"/>
          <w:color w:val="auto"/>
          <w:kern w:val="0"/>
          <w:sz w:val="24"/>
          <w:highlight w:val="none"/>
          <w:lang w:bidi="ar"/>
        </w:rPr>
        <w:t>3年</w:t>
      </w:r>
      <w:r>
        <w:rPr>
          <w:rFonts w:hint="eastAsia" w:ascii="宋体" w:hAnsi="宋体" w:cs="宋体"/>
          <w:color w:val="auto"/>
          <w:kern w:val="0"/>
          <w:sz w:val="24"/>
          <w:highlight w:val="none"/>
          <w:lang w:val="en-US" w:eastAsia="zh-CN" w:bidi="ar"/>
        </w:rPr>
        <w:t>4</w:t>
      </w:r>
      <w:r>
        <w:rPr>
          <w:rFonts w:ascii="宋体" w:hAnsi="宋体" w:cs="宋体"/>
          <w:color w:val="auto"/>
          <w:kern w:val="0"/>
          <w:sz w:val="24"/>
          <w:highlight w:val="none"/>
          <w:lang w:bidi="ar"/>
        </w:rPr>
        <w:t>月</w:t>
      </w:r>
      <w:r>
        <w:rPr>
          <w:rFonts w:hint="eastAsia" w:ascii="宋体" w:hAnsi="宋体" w:cs="宋体"/>
          <w:color w:val="auto"/>
          <w:kern w:val="0"/>
          <w:sz w:val="24"/>
          <w:highlight w:val="none"/>
          <w:lang w:val="en-US" w:eastAsia="zh-CN" w:bidi="ar"/>
        </w:rPr>
        <w:t>18</w:t>
      </w:r>
      <w:r>
        <w:rPr>
          <w:rFonts w:ascii="宋体" w:hAnsi="宋体" w:cs="宋体"/>
          <w:color w:val="auto"/>
          <w:kern w:val="0"/>
          <w:sz w:val="24"/>
          <w:highlight w:val="none"/>
          <w:lang w:bidi="ar"/>
        </w:rPr>
        <w:t>日</w:t>
      </w:r>
      <w:r>
        <w:rPr>
          <w:rFonts w:hint="eastAsia" w:ascii="宋体" w:hAnsi="宋体" w:cs="宋体"/>
          <w:kern w:val="0"/>
          <w:sz w:val="24"/>
          <w:highlight w:val="none"/>
          <w:lang w:bidi="ar"/>
        </w:rPr>
        <w:t>星期</w:t>
      </w:r>
      <w:r>
        <w:rPr>
          <w:rFonts w:hint="eastAsia" w:ascii="宋体" w:hAnsi="宋体" w:cs="宋体"/>
          <w:kern w:val="0"/>
          <w:sz w:val="24"/>
          <w:highlight w:val="none"/>
          <w:lang w:val="en-US" w:eastAsia="zh-CN" w:bidi="ar"/>
        </w:rPr>
        <w:t>二14:00至16:00</w:t>
      </w:r>
      <w:r>
        <w:rPr>
          <w:rFonts w:hint="eastAsia" w:ascii="宋体" w:hAnsi="宋体" w:cs="宋体"/>
          <w:color w:val="000000"/>
          <w:kern w:val="0"/>
          <w:sz w:val="24"/>
          <w:highlight w:val="none"/>
        </w:rPr>
        <w:t>（北京时间），扫描下述资料并发送邮件至chenwei@gdsei.org.cn：</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（1）第四章中的证明文件格式中相应资料（请竞价人按自身实际情况提供）</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（2）报价表</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提前或逾期提交的材料或材料不全的本院恕不接受。</w:t>
      </w:r>
    </w:p>
    <w:p>
      <w:pPr>
        <w:pStyle w:val="64"/>
        <w:tabs>
          <w:tab w:val="left" w:pos="180"/>
        </w:tabs>
        <w:spacing w:line="440" w:lineRule="exact"/>
        <w:ind w:firstLine="480" w:firstLineChars="200"/>
        <w:rPr>
          <w:rFonts w:ascii="宋体" w:hAnsi="宋体" w:cs="宋体"/>
          <w:color w:val="000000"/>
          <w:sz w:val="24"/>
        </w:rPr>
      </w:pPr>
      <w:r>
        <w:rPr>
          <w:rFonts w:hint="eastAsia" w:ascii="宋体" w:hAnsi="宋体" w:cs="宋体"/>
          <w:color w:val="000000"/>
          <w:sz w:val="24"/>
        </w:rPr>
        <w:t>（二）如竞投人在竞价环节截止后未提交资料到指定邮箱，则将视为放弃本次竞价。</w:t>
      </w:r>
    </w:p>
    <w:p>
      <w:pPr>
        <w:pStyle w:val="103"/>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rPr>
        <w:t>十、联系方式</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w:t>
      </w:r>
    </w:p>
    <w:p>
      <w:pPr>
        <w:pStyle w:val="64"/>
        <w:snapToGrid w:val="0"/>
        <w:spacing w:line="440" w:lineRule="exact"/>
        <w:ind w:firstLine="480" w:firstLineChars="200"/>
        <w:rPr>
          <w:rFonts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联系人：陈先生</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联系电话：0757－22337615</w:t>
      </w:r>
    </w:p>
    <w:p>
      <w:pPr>
        <w:pStyle w:val="103"/>
        <w:snapToGrid w:val="0"/>
        <w:spacing w:line="440" w:lineRule="exact"/>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日</w:t>
      </w:r>
    </w:p>
    <w:p>
      <w:pPr>
        <w:pStyle w:val="63"/>
        <w:widowControl/>
        <w:snapToGrid w:val="0"/>
        <w:spacing w:line="360" w:lineRule="exact"/>
        <w:ind w:firstLine="4410" w:firstLineChars="2100"/>
        <w:rPr>
          <w:rFonts w:ascii="宋体" w:hAnsi="宋体"/>
          <w:color w:val="000000"/>
          <w:sz w:val="72"/>
          <w:szCs w:val="72"/>
        </w:rPr>
      </w:pPr>
      <w:r>
        <w:rPr>
          <w:rFonts w:hint="eastAsia" w:ascii="宋体" w:hAnsi="宋体" w:cs="宋体"/>
          <w:color w:val="000000"/>
          <w:kern w:val="0"/>
        </w:rPr>
        <w:t xml:space="preserve">      </w:t>
      </w:r>
    </w:p>
    <w:p>
      <w:pPr>
        <w:pStyle w:val="2"/>
        <w:spacing w:line="360" w:lineRule="auto"/>
        <w:rPr>
          <w:rFonts w:ascii="宋体" w:hAnsi="宋体"/>
          <w:color w:val="000000"/>
          <w:sz w:val="72"/>
          <w:szCs w:val="72"/>
        </w:rPr>
        <w:sectPr>
          <w:footerReference r:id="rId8" w:type="default"/>
          <w:pgSz w:w="11907" w:h="16840"/>
          <w:pgMar w:top="1417" w:right="1134" w:bottom="1417" w:left="1134" w:header="851" w:footer="992" w:gutter="0"/>
          <w:pgNumType w:start="1"/>
          <w:cols w:space="720" w:num="1"/>
          <w:docGrid w:linePitch="462" w:charSpace="0"/>
        </w:sectPr>
      </w:pPr>
      <w:bookmarkStart w:id="3" w:name="_Toc31301"/>
    </w:p>
    <w:p>
      <w:pPr>
        <w:pStyle w:val="2"/>
        <w:spacing w:line="360" w:lineRule="auto"/>
        <w:jc w:val="center"/>
        <w:rPr>
          <w:rFonts w:ascii="宋体" w:hAnsi="宋体"/>
          <w:color w:val="000000"/>
          <w:sz w:val="72"/>
          <w:szCs w:val="72"/>
        </w:rPr>
      </w:pPr>
      <w:bookmarkStart w:id="4" w:name="_Toc32393"/>
      <w:r>
        <w:rPr>
          <w:rFonts w:hint="eastAsia" w:ascii="宋体" w:hAnsi="宋体"/>
          <w:color w:val="000000"/>
          <w:sz w:val="72"/>
          <w:szCs w:val="72"/>
        </w:rPr>
        <w:t>第二章 竞投人须知</w:t>
      </w:r>
      <w:bookmarkEnd w:id="3"/>
      <w:bookmarkEnd w:id="4"/>
    </w:p>
    <w:p>
      <w:pPr>
        <w:ind w:firstLine="1807" w:firstLineChars="500"/>
        <w:jc w:val="center"/>
        <w:rPr>
          <w:rFonts w:ascii="宋体" w:hAnsi="宋体"/>
          <w:b/>
          <w:color w:val="000000"/>
          <w:sz w:val="36"/>
        </w:rPr>
      </w:pPr>
      <w:r>
        <w:rPr>
          <w:rFonts w:hint="eastAsia" w:ascii="宋体" w:hAnsi="宋体"/>
          <w:b/>
          <w:color w:val="000000"/>
          <w:sz w:val="36"/>
        </w:rPr>
        <w:t>第二章 竞投人须知</w:t>
      </w:r>
    </w:p>
    <w:p>
      <w:pPr>
        <w:pStyle w:val="4"/>
        <w:numPr>
          <w:ilvl w:val="2"/>
          <w:numId w:val="0"/>
        </w:numPr>
        <w:spacing w:before="240" w:after="240" w:line="360" w:lineRule="exact"/>
        <w:rPr>
          <w:rFonts w:ascii="宋体" w:hAnsi="宋体"/>
          <w:color w:val="000000"/>
        </w:rPr>
      </w:pPr>
      <w:bookmarkStart w:id="5" w:name="_Toc6117"/>
      <w:bookmarkStart w:id="6" w:name="_Toc20405"/>
      <w:bookmarkStart w:id="7" w:name="_Toc393898101"/>
      <w:bookmarkStart w:id="8" w:name="_Toc322448777"/>
      <w:bookmarkStart w:id="9" w:name="_Toc322598618"/>
      <w:bookmarkStart w:id="10" w:name="_Toc293581514"/>
      <w:r>
        <w:rPr>
          <w:rFonts w:hint="eastAsia" w:ascii="宋体" w:hAnsi="宋体"/>
          <w:color w:val="000000"/>
        </w:rPr>
        <w:t>一、说明</w:t>
      </w:r>
      <w:bookmarkEnd w:id="5"/>
      <w:bookmarkEnd w:id="6"/>
    </w:p>
    <w:p>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7"/>
    </w:p>
    <w:p>
      <w:pPr>
        <w:spacing w:line="460" w:lineRule="exact"/>
        <w:ind w:firstLine="480" w:firstLineChars="200"/>
        <w:rPr>
          <w:rFonts w:ascii="宋体" w:hAnsi="宋体"/>
          <w:color w:val="000000"/>
          <w:sz w:val="24"/>
        </w:rPr>
      </w:pPr>
      <w:bookmarkStart w:id="11" w:name="_Toc393898102"/>
      <w:r>
        <w:rPr>
          <w:rFonts w:hint="eastAsia" w:ascii="宋体" w:hAnsi="宋体"/>
          <w:color w:val="000000"/>
          <w:sz w:val="24"/>
        </w:rPr>
        <w:t>（二）竞投人须对标的物进行了解核实（含实地勘察、查阅相关资料等），。</w:t>
      </w:r>
      <w:bookmarkEnd w:id="11"/>
    </w:p>
    <w:p>
      <w:pPr>
        <w:pStyle w:val="4"/>
        <w:numPr>
          <w:ilvl w:val="2"/>
          <w:numId w:val="0"/>
        </w:numPr>
        <w:spacing w:before="240" w:after="240" w:line="460" w:lineRule="exact"/>
        <w:rPr>
          <w:rFonts w:ascii="宋体" w:hAnsi="宋体"/>
          <w:color w:val="000000"/>
          <w:sz w:val="24"/>
          <w:szCs w:val="24"/>
        </w:rPr>
      </w:pPr>
      <w:bookmarkStart w:id="12" w:name="_Toc1466"/>
      <w:bookmarkStart w:id="13" w:name="_Toc393898105"/>
      <w:bookmarkStart w:id="14" w:name="_Toc26867"/>
      <w:r>
        <w:rPr>
          <w:rFonts w:hint="eastAsia" w:ascii="宋体" w:hAnsi="宋体"/>
          <w:color w:val="000000"/>
          <w:sz w:val="24"/>
          <w:szCs w:val="24"/>
        </w:rPr>
        <w:t>二、本竞价文件的构成</w:t>
      </w:r>
      <w:bookmarkEnd w:id="8"/>
      <w:bookmarkEnd w:id="9"/>
      <w:bookmarkEnd w:id="10"/>
      <w:bookmarkEnd w:id="12"/>
      <w:bookmarkEnd w:id="13"/>
      <w:bookmarkEnd w:id="14"/>
    </w:p>
    <w:p>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pPr>
        <w:spacing w:line="460" w:lineRule="exact"/>
        <w:ind w:firstLine="480" w:firstLineChars="200"/>
        <w:rPr>
          <w:rFonts w:ascii="宋体" w:hAnsi="宋体"/>
          <w:color w:val="000000"/>
          <w:sz w:val="24"/>
        </w:rPr>
      </w:pPr>
      <w:r>
        <w:rPr>
          <w:rFonts w:hint="eastAsia" w:ascii="宋体" w:hAnsi="宋体"/>
          <w:color w:val="000000"/>
          <w:sz w:val="24"/>
        </w:rPr>
        <w:t>第二章  竞投人须知</w:t>
      </w:r>
      <w:bookmarkStart w:id="88" w:name="_GoBack"/>
      <w:bookmarkEnd w:id="88"/>
    </w:p>
    <w:p>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pPr>
        <w:spacing w:line="460" w:lineRule="exact"/>
        <w:ind w:firstLine="480" w:firstLineChars="200"/>
        <w:rPr>
          <w:rFonts w:ascii="宋体" w:hAnsi="宋体"/>
          <w:color w:val="000000"/>
          <w:sz w:val="24"/>
        </w:rPr>
      </w:pPr>
      <w:r>
        <w:rPr>
          <w:rFonts w:hint="eastAsia" w:ascii="宋体" w:hAnsi="宋体"/>
          <w:color w:val="000000"/>
          <w:sz w:val="24"/>
        </w:rPr>
        <w:t>第五章  附件</w:t>
      </w:r>
    </w:p>
    <w:p>
      <w:pPr>
        <w:pStyle w:val="4"/>
        <w:numPr>
          <w:ilvl w:val="2"/>
          <w:numId w:val="0"/>
        </w:numPr>
        <w:spacing w:before="240" w:after="240" w:line="460" w:lineRule="exact"/>
        <w:rPr>
          <w:rFonts w:ascii="宋体" w:hAnsi="宋体"/>
          <w:color w:val="000000"/>
          <w:sz w:val="24"/>
          <w:szCs w:val="24"/>
        </w:rPr>
      </w:pPr>
      <w:bookmarkStart w:id="15" w:name="_Toc29247"/>
      <w:bookmarkStart w:id="16" w:name="_Toc293581516"/>
      <w:bookmarkStart w:id="17" w:name="_Toc393898107"/>
      <w:bookmarkStart w:id="18" w:name="_Toc2926"/>
      <w:bookmarkStart w:id="19" w:name="_Toc322448779"/>
      <w:bookmarkStart w:id="20" w:name="_Toc322598620"/>
      <w:r>
        <w:rPr>
          <w:rFonts w:hint="eastAsia" w:ascii="宋体" w:hAnsi="宋体"/>
          <w:color w:val="000000"/>
          <w:sz w:val="24"/>
          <w:szCs w:val="24"/>
        </w:rPr>
        <w:t>三、竞价文件的修改</w:t>
      </w:r>
      <w:bookmarkEnd w:id="15"/>
      <w:bookmarkEnd w:id="16"/>
      <w:bookmarkEnd w:id="17"/>
      <w:bookmarkEnd w:id="18"/>
      <w:bookmarkEnd w:id="19"/>
      <w:bookmarkEnd w:id="20"/>
    </w:p>
    <w:p>
      <w:pPr>
        <w:spacing w:line="460" w:lineRule="exact"/>
        <w:ind w:firstLine="480" w:firstLineChars="200"/>
        <w:rPr>
          <w:rFonts w:ascii="宋体" w:hAnsi="宋体"/>
          <w:color w:val="000000"/>
          <w:sz w:val="24"/>
        </w:rPr>
      </w:pPr>
      <w:bookmarkStart w:id="21" w:name="_Toc418116223"/>
      <w:r>
        <w:rPr>
          <w:rFonts w:hint="eastAsia" w:ascii="宋体" w:hAnsi="宋体"/>
          <w:color w:val="000000"/>
          <w:sz w:val="24"/>
        </w:rPr>
        <w:t>（一）竞价文件的修改是指</w:t>
      </w:r>
      <w:r>
        <w:rPr>
          <w:rFonts w:hint="eastAsia" w:ascii="宋体" w:hAnsi="宋体"/>
          <w:color w:val="000000"/>
          <w:sz w:val="24"/>
          <w:lang w:val="en-US" w:eastAsia="zh-CN"/>
        </w:rPr>
        <w:t>需</w:t>
      </w:r>
      <w:r>
        <w:rPr>
          <w:rFonts w:hint="eastAsia" w:ascii="宋体" w:hAnsi="宋体"/>
          <w:color w:val="000000"/>
          <w:sz w:val="24"/>
        </w:rPr>
        <w:t>方对竞价文件中出现的错误进行修订。</w:t>
      </w:r>
    </w:p>
    <w:p>
      <w:pPr>
        <w:spacing w:line="460" w:lineRule="exact"/>
        <w:ind w:firstLine="480" w:firstLineChars="200"/>
        <w:rPr>
          <w:rFonts w:ascii="宋体" w:hAnsi="宋体"/>
          <w:color w:val="000000"/>
          <w:sz w:val="24"/>
        </w:rPr>
      </w:pPr>
      <w:r>
        <w:rPr>
          <w:rFonts w:hint="eastAsia" w:ascii="宋体" w:hAnsi="宋体"/>
          <w:color w:val="000000"/>
          <w:sz w:val="24"/>
        </w:rPr>
        <w:t>（二）竞价文件的修改将电话形式通知所有竞价文件买受人，该竞价文件的修改将构成竞价文件的一部分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pPr>
        <w:pStyle w:val="4"/>
        <w:spacing w:line="460" w:lineRule="exact"/>
        <w:rPr>
          <w:rFonts w:ascii="宋体" w:hAnsi="宋体"/>
          <w:color w:val="000000"/>
          <w:sz w:val="24"/>
          <w:szCs w:val="24"/>
        </w:rPr>
      </w:pPr>
      <w:bookmarkStart w:id="22" w:name="_Toc8035"/>
      <w:bookmarkStart w:id="23" w:name="_Toc26810"/>
      <w:r>
        <w:rPr>
          <w:rFonts w:hint="eastAsia" w:ascii="宋体" w:hAnsi="宋体"/>
          <w:color w:val="000000"/>
          <w:sz w:val="24"/>
          <w:szCs w:val="24"/>
        </w:rPr>
        <w:t>四、竞投资格</w:t>
      </w:r>
      <w:bookmarkEnd w:id="21"/>
      <w:bookmarkEnd w:id="22"/>
      <w:bookmarkEnd w:id="23"/>
    </w:p>
    <w:p>
      <w:pPr>
        <w:spacing w:line="460" w:lineRule="exact"/>
        <w:ind w:firstLine="480" w:firstLineChars="200"/>
        <w:rPr>
          <w:rFonts w:ascii="宋体" w:hAnsi="宋体"/>
          <w:color w:val="000000"/>
          <w:sz w:val="24"/>
        </w:rPr>
      </w:pPr>
      <w:r>
        <w:rPr>
          <w:rFonts w:hint="eastAsia" w:ascii="宋体" w:hAnsi="宋体"/>
          <w:color w:val="000000"/>
          <w:sz w:val="24"/>
        </w:rPr>
        <w:t>（一）竞投意向人按照竞价文件要求提交全部资料参加报名，则视为取得竞投资格。</w:t>
      </w:r>
    </w:p>
    <w:p>
      <w:pPr>
        <w:spacing w:line="460" w:lineRule="exact"/>
        <w:ind w:firstLine="480" w:firstLineChars="200"/>
        <w:rPr>
          <w:rFonts w:ascii="宋体" w:hAnsi="宋体"/>
          <w:bCs/>
          <w:color w:val="000000"/>
          <w:sz w:val="24"/>
        </w:rPr>
      </w:pPr>
      <w:r>
        <w:rPr>
          <w:rFonts w:hint="eastAsia" w:ascii="宋体" w:hAnsi="宋体"/>
          <w:bCs/>
          <w:color w:val="000000"/>
          <w:sz w:val="24"/>
        </w:rPr>
        <w:t>（二）出现下列情形之一的，视为竞投人放弃本次竞投资格（如仅有一个竞投人符合竞投资格的除外）：</w:t>
      </w:r>
    </w:p>
    <w:p>
      <w:pPr>
        <w:spacing w:line="460" w:lineRule="exact"/>
        <w:ind w:firstLine="480" w:firstLineChars="200"/>
        <w:rPr>
          <w:rFonts w:ascii="宋体" w:hAnsi="宋体"/>
          <w:bCs/>
          <w:color w:val="000000"/>
          <w:sz w:val="24"/>
        </w:rPr>
      </w:pPr>
      <w:r>
        <w:rPr>
          <w:rFonts w:hint="eastAsia" w:ascii="宋体" w:hAnsi="宋体"/>
          <w:bCs/>
          <w:color w:val="000000"/>
          <w:sz w:val="24"/>
        </w:rPr>
        <w:t>1、竞投人未按照竞价文件要求准时参加竞投报到的；</w:t>
      </w:r>
    </w:p>
    <w:p>
      <w:pPr>
        <w:spacing w:line="460" w:lineRule="exact"/>
        <w:ind w:firstLine="480" w:firstLineChars="200"/>
        <w:rPr>
          <w:rFonts w:ascii="宋体" w:hAnsi="宋体"/>
          <w:bCs/>
          <w:color w:val="000000"/>
          <w:sz w:val="24"/>
        </w:rPr>
      </w:pPr>
      <w:r>
        <w:rPr>
          <w:rFonts w:hint="eastAsia" w:ascii="宋体" w:hAnsi="宋体"/>
          <w:bCs/>
          <w:color w:val="000000"/>
          <w:sz w:val="24"/>
        </w:rPr>
        <w:t>2、在竞价会议开始后结束前未经本公司许可，擅自离开竞投现场的。</w:t>
      </w:r>
    </w:p>
    <w:p>
      <w:pPr>
        <w:pStyle w:val="4"/>
        <w:numPr>
          <w:ilvl w:val="2"/>
          <w:numId w:val="0"/>
        </w:numPr>
        <w:spacing w:before="240" w:after="240" w:line="460" w:lineRule="exact"/>
        <w:rPr>
          <w:rFonts w:ascii="宋体" w:hAnsi="宋体"/>
          <w:color w:val="000000"/>
          <w:sz w:val="24"/>
          <w:szCs w:val="24"/>
        </w:rPr>
      </w:pPr>
      <w:bookmarkStart w:id="24" w:name="_Toc12682"/>
      <w:bookmarkStart w:id="25" w:name="_Toc9361"/>
      <w:r>
        <w:rPr>
          <w:rFonts w:hint="eastAsia" w:ascii="宋体" w:hAnsi="宋体"/>
          <w:color w:val="000000"/>
          <w:sz w:val="24"/>
          <w:szCs w:val="24"/>
        </w:rPr>
        <w:t>五、交易保证金</w:t>
      </w:r>
      <w:bookmarkEnd w:id="24"/>
      <w:bookmarkEnd w:id="25"/>
    </w:p>
    <w:p>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pPr>
        <w:pStyle w:val="4"/>
        <w:numPr>
          <w:ilvl w:val="2"/>
          <w:numId w:val="0"/>
        </w:numPr>
        <w:spacing w:before="240" w:after="240" w:line="460" w:lineRule="exact"/>
        <w:rPr>
          <w:rFonts w:ascii="宋体" w:hAnsi="宋体"/>
          <w:color w:val="000000"/>
          <w:sz w:val="24"/>
          <w:szCs w:val="24"/>
        </w:rPr>
      </w:pPr>
      <w:bookmarkStart w:id="26" w:name="_Toc26672"/>
      <w:bookmarkStart w:id="27" w:name="_Toc322448780"/>
      <w:bookmarkStart w:id="28" w:name="_Toc322598621"/>
      <w:bookmarkStart w:id="29" w:name="_Toc293581517"/>
      <w:bookmarkStart w:id="30" w:name="_Toc393898108"/>
      <w:bookmarkStart w:id="31" w:name="_Toc292"/>
      <w:r>
        <w:rPr>
          <w:rFonts w:hint="eastAsia" w:ascii="宋体" w:hAnsi="宋体"/>
          <w:color w:val="000000"/>
          <w:sz w:val="24"/>
          <w:szCs w:val="24"/>
        </w:rPr>
        <w:t>六、证明文件</w:t>
      </w:r>
      <w:bookmarkEnd w:id="26"/>
      <w:bookmarkEnd w:id="27"/>
      <w:bookmarkEnd w:id="28"/>
      <w:bookmarkEnd w:id="29"/>
      <w:bookmarkEnd w:id="30"/>
      <w:bookmarkEnd w:id="31"/>
    </w:p>
    <w:p>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pPr>
        <w:spacing w:line="460" w:lineRule="exact"/>
        <w:ind w:firstLine="480" w:firstLineChars="200"/>
        <w:rPr>
          <w:rFonts w:ascii="宋体" w:hAnsi="宋体"/>
          <w:color w:val="000000"/>
          <w:sz w:val="24"/>
        </w:rPr>
      </w:pPr>
      <w:r>
        <w:rPr>
          <w:rFonts w:hint="eastAsia" w:ascii="宋体" w:hAnsi="宋体"/>
          <w:color w:val="000000"/>
          <w:sz w:val="24"/>
        </w:rPr>
        <w:t>1、封面；</w:t>
      </w:r>
    </w:p>
    <w:p>
      <w:pPr>
        <w:spacing w:line="460" w:lineRule="exact"/>
        <w:ind w:firstLine="480" w:firstLineChars="200"/>
        <w:rPr>
          <w:rFonts w:ascii="宋体" w:hAnsi="宋体"/>
          <w:color w:val="000000"/>
          <w:sz w:val="24"/>
        </w:rPr>
      </w:pPr>
      <w:r>
        <w:rPr>
          <w:rFonts w:hint="eastAsia" w:ascii="宋体" w:hAnsi="宋体"/>
          <w:color w:val="000000"/>
          <w:sz w:val="24"/>
        </w:rPr>
        <w:t>2、竞投人证明书；</w:t>
      </w:r>
    </w:p>
    <w:p>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5、陪同人员证明书。</w:t>
      </w:r>
    </w:p>
    <w:p>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pPr>
        <w:spacing w:line="460" w:lineRule="exact"/>
        <w:ind w:firstLine="480" w:firstLineChars="200"/>
        <w:rPr>
          <w:rFonts w:ascii="宋体" w:hAnsi="宋体"/>
          <w:color w:val="000000"/>
          <w:sz w:val="24"/>
        </w:rPr>
      </w:pPr>
      <w:bookmarkStart w:id="32" w:name="_Toc322598624"/>
      <w:bookmarkStart w:id="33" w:name="_Toc393898109"/>
      <w:bookmarkStart w:id="34" w:name="_Toc293581520"/>
      <w:bookmarkStart w:id="35" w:name="_Toc322448783"/>
      <w:bookmarkStart w:id="36"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pPr>
        <w:spacing w:line="460" w:lineRule="exact"/>
        <w:ind w:firstLine="480" w:firstLineChars="200"/>
        <w:rPr>
          <w:rFonts w:ascii="宋体" w:hAnsi="宋体"/>
          <w:color w:val="000000"/>
          <w:sz w:val="24"/>
        </w:rPr>
      </w:pPr>
      <w:r>
        <w:rPr>
          <w:rFonts w:hint="eastAsia" w:ascii="宋体" w:hAnsi="宋体"/>
          <w:color w:val="000000"/>
          <w:sz w:val="24"/>
        </w:rPr>
        <w:t>（四）本公司将拒绝并原封退回在其规定的接收证明文件截止时刻后收到的任何证明文件。</w:t>
      </w:r>
    </w:p>
    <w:bookmarkEnd w:id="32"/>
    <w:bookmarkEnd w:id="33"/>
    <w:bookmarkEnd w:id="34"/>
    <w:bookmarkEnd w:id="35"/>
    <w:p>
      <w:pPr>
        <w:pStyle w:val="4"/>
        <w:numPr>
          <w:ilvl w:val="2"/>
          <w:numId w:val="0"/>
        </w:numPr>
        <w:spacing w:before="240" w:after="240" w:line="460" w:lineRule="exact"/>
        <w:rPr>
          <w:rFonts w:ascii="宋体" w:hAnsi="宋体"/>
          <w:color w:val="000000"/>
          <w:sz w:val="24"/>
          <w:szCs w:val="24"/>
        </w:rPr>
      </w:pPr>
      <w:bookmarkStart w:id="37" w:name="_Toc322598628"/>
      <w:bookmarkStart w:id="38" w:name="_Toc12613"/>
      <w:bookmarkStart w:id="39" w:name="_Toc322448787"/>
      <w:bookmarkStart w:id="40" w:name="_Toc393898112"/>
      <w:bookmarkStart w:id="41" w:name="_Toc14185"/>
      <w:r>
        <w:rPr>
          <w:rFonts w:hint="eastAsia" w:ascii="宋体" w:hAnsi="宋体"/>
          <w:color w:val="000000"/>
          <w:sz w:val="24"/>
          <w:szCs w:val="24"/>
        </w:rPr>
        <w:t>七、竞价方法及注意事项</w:t>
      </w:r>
      <w:bookmarkEnd w:id="36"/>
      <w:bookmarkEnd w:id="37"/>
      <w:bookmarkEnd w:id="38"/>
      <w:bookmarkEnd w:id="39"/>
      <w:bookmarkEnd w:id="40"/>
      <w:bookmarkEnd w:id="41"/>
    </w:p>
    <w:p>
      <w:pPr>
        <w:spacing w:line="460" w:lineRule="exact"/>
        <w:ind w:firstLine="480" w:firstLineChars="200"/>
        <w:rPr>
          <w:rFonts w:ascii="宋体" w:hAnsi="宋体"/>
          <w:color w:val="000000"/>
          <w:sz w:val="24"/>
        </w:rPr>
      </w:pPr>
      <w:bookmarkStart w:id="42" w:name="_Toc309216556"/>
      <w:bookmarkStart w:id="43" w:name="_Toc393898114"/>
      <w:bookmarkStart w:id="44" w:name="_Toc56240456"/>
      <w:bookmarkStart w:id="45" w:name="_Toc322598630"/>
      <w:bookmarkStart w:id="46" w:name="_Toc97978936"/>
      <w:bookmarkStart w:id="47" w:name="_Toc293581526"/>
      <w:bookmarkStart w:id="48" w:name="_Toc322448789"/>
      <w:bookmarkStart w:id="49" w:name="_Toc15596"/>
      <w:bookmarkStart w:id="50" w:name="_Toc293581525"/>
      <w:r>
        <w:rPr>
          <w:rFonts w:hint="eastAsia" w:ascii="宋体" w:hAnsi="宋体"/>
          <w:color w:val="000000"/>
          <w:sz w:val="24"/>
        </w:rPr>
        <w:t>（一）竞价原则</w:t>
      </w:r>
    </w:p>
    <w:p>
      <w:pPr>
        <w:spacing w:line="460" w:lineRule="exact"/>
        <w:ind w:firstLine="480" w:firstLineChars="200"/>
        <w:rPr>
          <w:rFonts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pPr>
        <w:spacing w:line="460" w:lineRule="exact"/>
        <w:ind w:firstLine="480" w:firstLineChars="200"/>
        <w:rPr>
          <w:rFonts w:ascii="宋体" w:hAnsi="宋体"/>
          <w:sz w:val="24"/>
        </w:rPr>
      </w:pPr>
      <w:r>
        <w:rPr>
          <w:rFonts w:hint="eastAsia" w:ascii="宋体" w:hAnsi="宋体"/>
          <w:sz w:val="24"/>
        </w:rPr>
        <w:t>（二）竞价的步骤及定标方法</w:t>
      </w:r>
    </w:p>
    <w:p>
      <w:pPr>
        <w:spacing w:line="460" w:lineRule="exact"/>
        <w:ind w:firstLine="482" w:firstLineChars="200"/>
        <w:rPr>
          <w:rFonts w:ascii="宋体" w:hAnsi="宋体"/>
          <w:sz w:val="24"/>
        </w:rPr>
      </w:pPr>
      <w:r>
        <w:rPr>
          <w:rFonts w:hint="eastAsia" w:ascii="宋体" w:hAnsi="宋体"/>
          <w:b/>
          <w:sz w:val="24"/>
        </w:rPr>
        <w:t>1、暗标</w:t>
      </w:r>
    </w:p>
    <w:p>
      <w:pPr>
        <w:spacing w:line="460" w:lineRule="exact"/>
        <w:ind w:firstLine="480" w:firstLineChars="200"/>
        <w:rPr>
          <w:rFonts w:ascii="宋体" w:hAnsi="宋体"/>
          <w:sz w:val="24"/>
        </w:rPr>
      </w:pPr>
      <w:r>
        <w:rPr>
          <w:rFonts w:hint="eastAsia" w:ascii="宋体" w:hAnsi="宋体"/>
          <w:sz w:val="24"/>
        </w:rPr>
        <w:t>暗标指合格的竞投人在规定时间内把竞投报价表放入信封，并将信封放在指定位置，由主持人统一读出报价，一般最低有效报价的竞投人为竞得人。</w:t>
      </w:r>
    </w:p>
    <w:p>
      <w:pPr>
        <w:spacing w:line="460" w:lineRule="exact"/>
        <w:ind w:firstLine="482" w:firstLineChars="200"/>
        <w:rPr>
          <w:rFonts w:ascii="宋体" w:hAnsi="宋体"/>
          <w:b/>
          <w:bCs/>
          <w:sz w:val="24"/>
        </w:rPr>
      </w:pPr>
      <w:r>
        <w:rPr>
          <w:rFonts w:hint="eastAsia" w:ascii="宋体" w:hAnsi="宋体"/>
          <w:b/>
          <w:bCs/>
          <w:sz w:val="24"/>
        </w:rPr>
        <w:t>步骤：</w:t>
      </w:r>
    </w:p>
    <w:p>
      <w:pPr>
        <w:spacing w:line="460" w:lineRule="exact"/>
        <w:ind w:firstLine="480" w:firstLineChars="200"/>
        <w:rPr>
          <w:rFonts w:ascii="宋体" w:hAnsi="宋体"/>
          <w:b/>
          <w:bCs/>
          <w:sz w:val="24"/>
        </w:rPr>
      </w:pPr>
      <w:r>
        <w:rPr>
          <w:rFonts w:hint="eastAsia" w:ascii="宋体" w:hAnsi="宋体"/>
          <w:sz w:val="24"/>
        </w:rPr>
        <w:t>如有三位或以上合资格竞投人参与竞投，本公司拟向合资格的竞投人或竞投人授权代表对应邮箱发放电子版竞投报价表，竞投人必须在于</w:t>
      </w:r>
      <w:r>
        <w:rPr>
          <w:rFonts w:hint="eastAsia" w:ascii="宋体" w:hAnsi="宋体"/>
          <w:sz w:val="24"/>
          <w:highlight w:val="none"/>
        </w:rPr>
        <w:t>2023年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18</w:t>
      </w:r>
      <w:r>
        <w:rPr>
          <w:rFonts w:hint="eastAsia" w:ascii="宋体" w:hAnsi="宋体"/>
          <w:sz w:val="24"/>
          <w:highlight w:val="none"/>
        </w:rPr>
        <w:t>日星期</w:t>
      </w:r>
      <w:r>
        <w:rPr>
          <w:rFonts w:hint="eastAsia" w:ascii="宋体" w:hAnsi="宋体"/>
          <w:sz w:val="24"/>
          <w:highlight w:val="none"/>
          <w:lang w:val="en-US" w:eastAsia="zh-CN"/>
        </w:rPr>
        <w:t>二14:00-16:00</w:t>
      </w:r>
      <w:r>
        <w:rPr>
          <w:rFonts w:hint="eastAsia" w:ascii="宋体" w:hAnsi="宋体"/>
          <w:sz w:val="24"/>
          <w:highlight w:val="none"/>
        </w:rPr>
        <w:t>（北京时</w:t>
      </w:r>
      <w:r>
        <w:rPr>
          <w:rFonts w:hint="eastAsia" w:ascii="宋体" w:hAnsi="宋体"/>
          <w:sz w:val="24"/>
        </w:rPr>
        <w:t>间）填写好报价表，签名确认并打指模</w:t>
      </w:r>
      <w:r>
        <w:rPr>
          <w:rFonts w:hint="eastAsia" w:ascii="宋体" w:hAnsi="宋体"/>
          <w:b/>
          <w:bCs/>
          <w:sz w:val="24"/>
        </w:rPr>
        <w:t>（竞投报价的大、小写金额不一致的，以能辨认清晰的金额为准，若都能辨认清晰，则以数额大的金额为准）</w:t>
      </w:r>
      <w:r>
        <w:rPr>
          <w:rFonts w:hint="eastAsia" w:ascii="宋体" w:hAnsi="宋体"/>
          <w:sz w:val="24"/>
        </w:rPr>
        <w:t>并将报价表发送至指定邮箱：chenwei@gdsei.org.cn。采购人派代表开封报价表，并监督主持人统一读出报价，一般最低有效报价的竞投人为竞得人，竞得人须与采购人（代表）签署《成交确认书》。</w:t>
      </w:r>
    </w:p>
    <w:p>
      <w:pPr>
        <w:spacing w:line="460" w:lineRule="exact"/>
        <w:ind w:firstLine="482" w:firstLineChars="200"/>
        <w:rPr>
          <w:rFonts w:ascii="宋体" w:hAnsi="宋体"/>
          <w:b/>
          <w:bCs/>
          <w:sz w:val="24"/>
        </w:rPr>
      </w:pPr>
      <w:r>
        <w:rPr>
          <w:rFonts w:hint="eastAsia" w:ascii="宋体" w:hAnsi="宋体"/>
          <w:b/>
          <w:bCs/>
          <w:sz w:val="24"/>
        </w:rPr>
        <w:t>2、确定竞得人的原则:</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1、若出现两位或两位以上竞投人的报价相同且同为最低报价，未能确定竞得人的，通过摇珠或抽签方式确定竞得人。</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2、若全体合资格竞投人均不到场，或到场后因竞投人不报价、全部报价均无效等原因造成不能确定竞得人的，另行组织交易。</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（二）若无人报名或少于三位合资格的竞投人，另行组织交易。</w:t>
      </w:r>
    </w:p>
    <w:p>
      <w:pPr>
        <w:pStyle w:val="4"/>
        <w:numPr>
          <w:ilvl w:val="2"/>
          <w:numId w:val="0"/>
        </w:numPr>
        <w:spacing w:before="240" w:after="240" w:line="460" w:lineRule="exact"/>
        <w:rPr>
          <w:rFonts w:ascii="宋体" w:hAnsi="宋体"/>
          <w:color w:val="000000"/>
          <w:sz w:val="24"/>
          <w:szCs w:val="24"/>
        </w:rPr>
      </w:pPr>
      <w:bookmarkStart w:id="51" w:name="_Toc28871"/>
      <w:r>
        <w:rPr>
          <w:rFonts w:hint="eastAsia" w:ascii="宋体" w:hAnsi="宋体"/>
          <w:color w:val="000000"/>
          <w:sz w:val="24"/>
          <w:szCs w:val="24"/>
        </w:rPr>
        <w:t>八、成交确认书</w:t>
      </w:r>
      <w:bookmarkEnd w:id="42"/>
      <w:bookmarkEnd w:id="43"/>
      <w:bookmarkEnd w:id="44"/>
      <w:bookmarkEnd w:id="45"/>
      <w:bookmarkEnd w:id="46"/>
      <w:bookmarkEnd w:id="47"/>
      <w:bookmarkEnd w:id="48"/>
      <w:bookmarkEnd w:id="49"/>
      <w:bookmarkEnd w:id="51"/>
    </w:p>
    <w:p>
      <w:pPr>
        <w:spacing w:line="460" w:lineRule="exact"/>
        <w:ind w:firstLine="480" w:firstLineChars="200"/>
        <w:rPr>
          <w:rFonts w:ascii="宋体" w:hAnsi="宋体"/>
          <w:color w:val="000000"/>
          <w:sz w:val="24"/>
        </w:rPr>
      </w:pPr>
      <w:r>
        <w:rPr>
          <w:rFonts w:hint="eastAsia" w:ascii="宋体" w:hAnsi="宋体"/>
          <w:color w:val="000000"/>
          <w:sz w:val="24"/>
        </w:rPr>
        <w:t>（一）确定竞得人后，竞得人须签订《成交确认书》。</w:t>
      </w:r>
    </w:p>
    <w:p>
      <w:pPr>
        <w:spacing w:line="460" w:lineRule="exact"/>
        <w:ind w:firstLine="480" w:firstLineChars="200"/>
        <w:rPr>
          <w:rFonts w:ascii="宋体" w:hAnsi="宋体"/>
          <w:color w:val="000000"/>
          <w:sz w:val="24"/>
        </w:rPr>
      </w:pPr>
      <w:r>
        <w:rPr>
          <w:rFonts w:hint="eastAsia" w:ascii="宋体" w:hAnsi="宋体"/>
          <w:color w:val="000000"/>
          <w:sz w:val="24"/>
        </w:rPr>
        <w:t>（二）经本公司盖章确认后，本公司将向竞得人发出《成交确认书》。</w:t>
      </w:r>
    </w:p>
    <w:p>
      <w:pPr>
        <w:spacing w:line="460" w:lineRule="exact"/>
        <w:ind w:firstLine="480" w:firstLineChars="200"/>
        <w:rPr>
          <w:rFonts w:ascii="宋体" w:hAnsi="宋体"/>
          <w:color w:val="000000"/>
          <w:sz w:val="24"/>
        </w:rPr>
      </w:pPr>
      <w:r>
        <w:rPr>
          <w:rFonts w:hint="eastAsia" w:ascii="宋体" w:hAnsi="宋体"/>
          <w:color w:val="000000"/>
          <w:sz w:val="24"/>
        </w:rPr>
        <w:t>（三）《成交确认书》是合同的一个组成部分。</w:t>
      </w:r>
    </w:p>
    <w:bookmarkEnd w:id="50"/>
    <w:p>
      <w:pPr>
        <w:pStyle w:val="4"/>
        <w:numPr>
          <w:ilvl w:val="2"/>
          <w:numId w:val="0"/>
        </w:numPr>
        <w:spacing w:before="240" w:after="240" w:line="460" w:lineRule="exact"/>
        <w:rPr>
          <w:rFonts w:ascii="宋体" w:hAnsi="宋体"/>
          <w:color w:val="000000"/>
          <w:sz w:val="24"/>
          <w:szCs w:val="24"/>
        </w:rPr>
      </w:pPr>
      <w:bookmarkStart w:id="52" w:name="_Toc97978933"/>
      <w:bookmarkStart w:id="53" w:name="_Toc322598629"/>
      <w:bookmarkStart w:id="54" w:name="_Toc11467"/>
      <w:bookmarkStart w:id="55" w:name="_Toc393898113"/>
      <w:bookmarkStart w:id="56" w:name="_Toc7751"/>
      <w:bookmarkStart w:id="57" w:name="_Toc322448788"/>
      <w:r>
        <w:rPr>
          <w:rFonts w:hint="eastAsia" w:ascii="宋体" w:hAnsi="宋体"/>
          <w:color w:val="000000"/>
          <w:sz w:val="24"/>
          <w:szCs w:val="24"/>
        </w:rPr>
        <w:t>九、竞价结果公</w:t>
      </w:r>
      <w:bookmarkEnd w:id="52"/>
      <w:r>
        <w:rPr>
          <w:rFonts w:hint="eastAsia" w:ascii="宋体" w:hAnsi="宋体"/>
          <w:color w:val="000000"/>
          <w:sz w:val="24"/>
          <w:szCs w:val="24"/>
        </w:rPr>
        <w:t>告</w:t>
      </w:r>
      <w:bookmarkEnd w:id="53"/>
      <w:bookmarkEnd w:id="54"/>
      <w:bookmarkEnd w:id="55"/>
      <w:bookmarkEnd w:id="56"/>
      <w:bookmarkEnd w:id="57"/>
    </w:p>
    <w:p>
      <w:pPr>
        <w:spacing w:line="460" w:lineRule="exact"/>
        <w:ind w:firstLine="480" w:firstLineChars="200"/>
        <w:rPr>
          <w:rFonts w:ascii="宋体" w:hAnsi="宋体"/>
          <w:color w:val="000000"/>
          <w:sz w:val="24"/>
        </w:rPr>
      </w:pPr>
      <w:bookmarkStart w:id="58" w:name="_Toc322448790"/>
      <w:bookmarkStart w:id="59" w:name="_Toc3625"/>
      <w:bookmarkStart w:id="60" w:name="_Ref76960151"/>
      <w:bookmarkStart w:id="61" w:name="_Toc293581527"/>
      <w:bookmarkStart w:id="62" w:name="_Toc322598631"/>
      <w:bookmarkStart w:id="63" w:name="_Toc393898115"/>
      <w:bookmarkStart w:id="64" w:name="_Toc56240457"/>
      <w:bookmarkStart w:id="65" w:name="_Ref74374887"/>
      <w:bookmarkStart w:id="66" w:name="_Ref76960126"/>
      <w:bookmarkStart w:id="67" w:name="_Toc97978938"/>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4"/>
        </w:rPr>
        <w:t>https://www.gdsdtjy.com/</w:t>
      </w:r>
      <w:r>
        <w:rPr>
          <w:rStyle w:val="34"/>
        </w:rPr>
        <w:fldChar w:fldCharType="end"/>
      </w:r>
      <w:r>
        <w:rPr>
          <w:rFonts w:ascii="宋体" w:hAnsi="宋体" w:cs="宋体"/>
          <w:kern w:val="0"/>
          <w:sz w:val="24"/>
          <w:lang w:bidi="ar"/>
        </w:rPr>
        <w:t>）发布</w:t>
      </w:r>
      <w:r>
        <w:rPr>
          <w:rFonts w:hint="eastAsia" w:ascii="宋体" w:hAnsi="宋体"/>
          <w:color w:val="000000"/>
          <w:sz w:val="24"/>
        </w:rPr>
        <w:t>网上竞价结果公告，公告时间为</w:t>
      </w:r>
      <w:r>
        <w:rPr>
          <w:rFonts w:hint="eastAsia" w:ascii="宋体" w:hAnsi="宋体"/>
          <w:color w:val="000000"/>
          <w:sz w:val="24"/>
          <w:lang w:val="en-US" w:eastAsia="zh-CN"/>
        </w:rPr>
        <w:t>5</w:t>
      </w:r>
      <w:r>
        <w:rPr>
          <w:rFonts w:hint="eastAsia" w:ascii="宋体" w:hAnsi="宋体"/>
          <w:color w:val="000000"/>
          <w:sz w:val="24"/>
        </w:rPr>
        <w:t>个工作日。</w:t>
      </w:r>
    </w:p>
    <w:p>
      <w:pPr>
        <w:pStyle w:val="4"/>
        <w:numPr>
          <w:ilvl w:val="2"/>
          <w:numId w:val="0"/>
        </w:numPr>
        <w:spacing w:before="240" w:after="240" w:line="460" w:lineRule="exact"/>
        <w:rPr>
          <w:rFonts w:ascii="宋体" w:hAnsi="宋体"/>
          <w:color w:val="000000"/>
          <w:sz w:val="24"/>
          <w:szCs w:val="24"/>
        </w:rPr>
      </w:pPr>
      <w:bookmarkStart w:id="68" w:name="_Toc32418"/>
      <w:r>
        <w:rPr>
          <w:rFonts w:hint="eastAsia" w:ascii="宋体" w:hAnsi="宋体"/>
          <w:color w:val="000000"/>
          <w:sz w:val="24"/>
          <w:szCs w:val="24"/>
        </w:rPr>
        <w:t>十、签订合同</w:t>
      </w:r>
      <w:bookmarkEnd w:id="58"/>
      <w:bookmarkEnd w:id="59"/>
      <w:bookmarkEnd w:id="60"/>
      <w:bookmarkEnd w:id="61"/>
      <w:bookmarkEnd w:id="62"/>
      <w:bookmarkEnd w:id="63"/>
      <w:bookmarkEnd w:id="64"/>
      <w:bookmarkEnd w:id="65"/>
      <w:bookmarkEnd w:id="66"/>
      <w:bookmarkEnd w:id="67"/>
      <w:bookmarkEnd w:id="68"/>
    </w:p>
    <w:p>
      <w:pPr>
        <w:spacing w:line="460" w:lineRule="exact"/>
        <w:ind w:firstLine="480" w:firstLineChars="200"/>
        <w:rPr>
          <w:rFonts w:ascii="宋体" w:hAnsi="宋体"/>
          <w:color w:val="000000"/>
          <w:sz w:val="24"/>
        </w:rPr>
      </w:pPr>
      <w:r>
        <w:rPr>
          <w:rFonts w:hint="eastAsia" w:ascii="宋体" w:hAnsi="宋体"/>
          <w:color w:val="000000"/>
          <w:sz w:val="24"/>
        </w:rPr>
        <w:t>（一）竞得人应按《成交确认书》指定的时间、地点与</w:t>
      </w:r>
      <w:r>
        <w:rPr>
          <w:rFonts w:hint="eastAsia" w:ascii="宋体" w:hAnsi="宋体"/>
          <w:color w:val="000000"/>
          <w:sz w:val="24"/>
          <w:lang w:val="en-US" w:eastAsia="zh-CN"/>
        </w:rPr>
        <w:t>需</w:t>
      </w:r>
      <w:r>
        <w:rPr>
          <w:rFonts w:hint="eastAsia" w:ascii="宋体" w:hAnsi="宋体"/>
          <w:color w:val="000000"/>
          <w:sz w:val="24"/>
        </w:rPr>
        <w:t>方签订合同。</w:t>
      </w:r>
    </w:p>
    <w:p>
      <w:pPr>
        <w:spacing w:line="460" w:lineRule="exact"/>
        <w:ind w:firstLine="480" w:firstLineChars="200"/>
        <w:rPr>
          <w:rFonts w:ascii="宋体" w:hAnsi="宋体"/>
          <w:color w:val="000000"/>
          <w:sz w:val="24"/>
        </w:rPr>
      </w:pPr>
      <w:r>
        <w:rPr>
          <w:rFonts w:hint="eastAsia" w:ascii="宋体" w:hAnsi="宋体"/>
          <w:color w:val="000000"/>
          <w:sz w:val="24"/>
        </w:rPr>
        <w:t>（二）《竞价文件》、竞投人的《证明文件》及其竞价补充文件等，均为签订合同的依据。</w:t>
      </w:r>
    </w:p>
    <w:p>
      <w:pPr>
        <w:spacing w:line="460" w:lineRule="exact"/>
        <w:ind w:firstLine="480" w:firstLineChars="200"/>
        <w:rPr>
          <w:rFonts w:ascii="宋体" w:hAnsi="宋体"/>
          <w:color w:val="000000"/>
          <w:sz w:val="24"/>
        </w:rPr>
      </w:pPr>
      <w:r>
        <w:rPr>
          <w:rFonts w:hint="eastAsia" w:ascii="宋体" w:hAnsi="宋体"/>
          <w:color w:val="000000"/>
          <w:sz w:val="24"/>
        </w:rPr>
        <w:t>（三）签订合同时间：在发出《成交确认书》后，如在成交结果公示期间无质疑或投诉，则在成交结果公示结束后竞得人必须在《成交确认书》约定的时间内凭《成交确认书》在</w:t>
      </w:r>
      <w:r>
        <w:rPr>
          <w:rFonts w:hint="eastAsia" w:ascii="宋体" w:hAnsi="宋体"/>
          <w:color w:val="000000"/>
          <w:sz w:val="24"/>
          <w:lang w:val="en-US" w:eastAsia="zh-CN"/>
        </w:rPr>
        <w:t>需</w:t>
      </w:r>
      <w:r>
        <w:rPr>
          <w:rFonts w:hint="eastAsia" w:ascii="宋体" w:hAnsi="宋体"/>
          <w:color w:val="000000"/>
          <w:sz w:val="24"/>
        </w:rPr>
        <w:t>方指定地点与</w:t>
      </w:r>
      <w:r>
        <w:rPr>
          <w:rFonts w:hint="eastAsia" w:ascii="宋体" w:hAnsi="宋体"/>
          <w:color w:val="000000"/>
          <w:sz w:val="24"/>
          <w:lang w:val="en-US" w:eastAsia="zh-CN"/>
        </w:rPr>
        <w:t>需</w:t>
      </w:r>
      <w:r>
        <w:rPr>
          <w:rFonts w:hint="eastAsia" w:ascii="宋体" w:hAnsi="宋体"/>
          <w:color w:val="000000"/>
          <w:sz w:val="24"/>
        </w:rPr>
        <w:t>方签订</w:t>
      </w:r>
      <w:r>
        <w:rPr>
          <w:rFonts w:hint="eastAsia" w:ascii="宋体" w:hAnsi="宋体"/>
          <w:color w:val="000000"/>
          <w:sz w:val="24"/>
          <w:lang w:val="en-US" w:eastAsia="zh-CN"/>
        </w:rPr>
        <w:t>购销</w:t>
      </w:r>
      <w:r>
        <w:rPr>
          <w:rFonts w:hint="eastAsia" w:ascii="宋体" w:hAnsi="宋体"/>
          <w:color w:val="000000"/>
          <w:sz w:val="24"/>
        </w:rPr>
        <w:t>合同；如在成交结果公示期间有质疑或投诉，则在质疑和投诉处理完毕后10个工作日内竞得人必须凭《成交确认书》在</w:t>
      </w:r>
      <w:r>
        <w:rPr>
          <w:rFonts w:hint="eastAsia" w:ascii="宋体" w:hAnsi="宋体"/>
          <w:color w:val="000000"/>
          <w:sz w:val="24"/>
          <w:lang w:val="en-US" w:eastAsia="zh-CN"/>
        </w:rPr>
        <w:t>需</w:t>
      </w:r>
      <w:r>
        <w:rPr>
          <w:rFonts w:hint="eastAsia" w:ascii="宋体" w:hAnsi="宋体"/>
          <w:color w:val="000000"/>
          <w:sz w:val="24"/>
        </w:rPr>
        <w:t>方指定地点与</w:t>
      </w:r>
      <w:r>
        <w:rPr>
          <w:rFonts w:hint="eastAsia" w:ascii="宋体" w:hAnsi="宋体"/>
          <w:color w:val="000000"/>
          <w:sz w:val="24"/>
          <w:lang w:val="en-US" w:eastAsia="zh-CN"/>
        </w:rPr>
        <w:t>需</w:t>
      </w:r>
      <w:r>
        <w:rPr>
          <w:rFonts w:hint="eastAsia" w:ascii="宋体" w:hAnsi="宋体"/>
          <w:color w:val="000000"/>
          <w:sz w:val="24"/>
        </w:rPr>
        <w:t>方签订</w:t>
      </w:r>
      <w:r>
        <w:rPr>
          <w:rFonts w:hint="eastAsia" w:ascii="宋体" w:hAnsi="宋体"/>
          <w:color w:val="000000"/>
          <w:sz w:val="24"/>
          <w:lang w:val="en-US" w:eastAsia="zh-CN"/>
        </w:rPr>
        <w:t>购销</w:t>
      </w:r>
      <w:r>
        <w:rPr>
          <w:rFonts w:hint="eastAsia" w:ascii="宋体" w:hAnsi="宋体"/>
          <w:color w:val="000000"/>
          <w:sz w:val="24"/>
        </w:rPr>
        <w:t>合同，如逾期不签订则视为竞得人反悔，</w:t>
      </w:r>
      <w:r>
        <w:rPr>
          <w:rFonts w:hint="eastAsia" w:ascii="宋体" w:hAnsi="宋体"/>
          <w:color w:val="000000"/>
          <w:sz w:val="24"/>
          <w:lang w:val="en-US" w:eastAsia="zh-CN"/>
        </w:rPr>
        <w:t>需</w:t>
      </w:r>
      <w:r>
        <w:rPr>
          <w:rFonts w:hint="eastAsia" w:ascii="宋体" w:hAnsi="宋体"/>
          <w:color w:val="000000"/>
          <w:sz w:val="24"/>
        </w:rPr>
        <w:t>方有权收回其标的物并没收竞得人的交易保证金。</w:t>
      </w:r>
    </w:p>
    <w:p>
      <w:pPr>
        <w:pStyle w:val="4"/>
        <w:numPr>
          <w:ilvl w:val="2"/>
          <w:numId w:val="0"/>
        </w:numPr>
        <w:spacing w:before="240" w:after="240" w:line="460" w:lineRule="exact"/>
        <w:ind w:firstLine="420"/>
        <w:rPr>
          <w:rFonts w:ascii="宋体" w:hAnsi="宋体"/>
          <w:color w:val="000000"/>
          <w:sz w:val="24"/>
          <w:szCs w:val="24"/>
        </w:rPr>
      </w:pPr>
      <w:bookmarkStart w:id="69" w:name="_Toc142"/>
      <w:bookmarkStart w:id="70" w:name="_Toc23596"/>
      <w:r>
        <w:rPr>
          <w:rFonts w:hint="eastAsia" w:ascii="宋体" w:hAnsi="宋体"/>
          <w:color w:val="000000"/>
          <w:sz w:val="24"/>
          <w:szCs w:val="24"/>
        </w:rPr>
        <w:t>十一、处罚机制</w:t>
      </w:r>
      <w:bookmarkEnd w:id="69"/>
      <w:bookmarkEnd w:id="70"/>
    </w:p>
    <w:p>
      <w:pPr>
        <w:pStyle w:val="67"/>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pPr>
        <w:pStyle w:val="67"/>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ascii="宋体" w:hAnsi="宋体" w:cs="宋体"/>
          <w:bCs/>
          <w:color w:val="000000"/>
          <w:sz w:val="24"/>
          <w:szCs w:val="24"/>
        </w:rPr>
        <w:t>凡未按规定提交有效凭证（</w:t>
      </w:r>
      <w:r>
        <w:rPr>
          <w:rFonts w:hint="eastAsia" w:ascii="宋体" w:hAnsi="宋体" w:cs="宋体"/>
          <w:bCs/>
          <w:color w:val="000000"/>
          <w:sz w:val="24"/>
          <w:szCs w:val="24"/>
        </w:rPr>
        <w:t>证明</w:t>
      </w:r>
      <w:r>
        <w:rPr>
          <w:rFonts w:ascii="宋体" w:hAnsi="宋体" w:cs="宋体"/>
          <w:bCs/>
          <w:color w:val="000000"/>
          <w:sz w:val="24"/>
          <w:szCs w:val="24"/>
        </w:rPr>
        <w:t>文件、二代身份证原件）</w:t>
      </w:r>
      <w:r>
        <w:rPr>
          <w:rFonts w:hint="eastAsia" w:ascii="宋体" w:hAnsi="宋体" w:cs="宋体"/>
          <w:bCs/>
          <w:color w:val="000000"/>
          <w:sz w:val="24"/>
          <w:szCs w:val="24"/>
        </w:rPr>
        <w:t>；</w:t>
      </w:r>
    </w:p>
    <w:p>
      <w:pPr>
        <w:pStyle w:val="67"/>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2、</w:t>
      </w:r>
      <w:r>
        <w:rPr>
          <w:rFonts w:ascii="宋体" w:hAnsi="宋体" w:cs="宋体"/>
          <w:bCs/>
          <w:color w:val="000000"/>
          <w:sz w:val="24"/>
          <w:szCs w:val="24"/>
        </w:rPr>
        <w:t>严重扰乱竞价会议现场秩序</w:t>
      </w:r>
      <w:r>
        <w:rPr>
          <w:rFonts w:hint="eastAsia" w:ascii="宋体" w:hAnsi="宋体" w:cs="宋体"/>
          <w:bCs/>
          <w:color w:val="000000"/>
          <w:sz w:val="24"/>
          <w:szCs w:val="24"/>
        </w:rPr>
        <w:t>；</w:t>
      </w:r>
    </w:p>
    <w:p>
      <w:pPr>
        <w:pStyle w:val="67"/>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3、</w:t>
      </w:r>
      <w:r>
        <w:rPr>
          <w:rFonts w:ascii="宋体" w:hAnsi="宋体" w:cs="宋体"/>
          <w:bCs/>
          <w:color w:val="000000"/>
          <w:sz w:val="24"/>
          <w:szCs w:val="24"/>
        </w:rPr>
        <w:t>竞价</w:t>
      </w:r>
      <w:r>
        <w:rPr>
          <w:rFonts w:hint="eastAsia" w:ascii="宋体" w:hAnsi="宋体" w:cs="宋体"/>
          <w:bCs/>
          <w:color w:val="000000"/>
          <w:sz w:val="24"/>
          <w:szCs w:val="24"/>
        </w:rPr>
        <w:t>环节</w:t>
      </w:r>
      <w:r>
        <w:rPr>
          <w:rFonts w:ascii="宋体" w:hAnsi="宋体" w:cs="宋体"/>
          <w:bCs/>
          <w:color w:val="000000"/>
          <w:sz w:val="24"/>
          <w:szCs w:val="24"/>
        </w:rPr>
        <w:t>过程中使用通信工具或可移动上网设备（包括但不限于手机、手提电脑、ipad</w:t>
      </w:r>
      <w:r>
        <w:rPr>
          <w:rFonts w:hint="eastAsia" w:ascii="宋体" w:hAnsi="宋体" w:cs="宋体"/>
          <w:bCs/>
          <w:color w:val="000000"/>
          <w:sz w:val="24"/>
          <w:szCs w:val="24"/>
        </w:rPr>
        <w:t>等</w:t>
      </w:r>
      <w:r>
        <w:rPr>
          <w:rFonts w:ascii="宋体" w:hAnsi="宋体" w:cs="宋体"/>
          <w:bCs/>
          <w:color w:val="000000"/>
          <w:sz w:val="24"/>
          <w:szCs w:val="24"/>
        </w:rPr>
        <w:t>）的</w:t>
      </w:r>
      <w:r>
        <w:rPr>
          <w:rFonts w:hint="eastAsia" w:ascii="宋体" w:hAnsi="宋体" w:cs="宋体"/>
          <w:bCs/>
          <w:color w:val="000000"/>
          <w:sz w:val="24"/>
          <w:szCs w:val="24"/>
        </w:rPr>
        <w:t>。</w:t>
      </w:r>
    </w:p>
    <w:p>
      <w:pPr>
        <w:spacing w:line="460" w:lineRule="exact"/>
        <w:ind w:firstLine="480" w:firstLineChars="200"/>
        <w:rPr>
          <w:rFonts w:ascii="宋体" w:hAnsi="宋体"/>
          <w:bCs/>
          <w:color w:val="000000"/>
          <w:sz w:val="24"/>
        </w:rPr>
      </w:pPr>
      <w:r>
        <w:rPr>
          <w:rFonts w:hint="eastAsia" w:ascii="宋体" w:hAnsi="宋体"/>
          <w:bCs/>
          <w:color w:val="000000"/>
          <w:sz w:val="24"/>
        </w:rPr>
        <w:t>4、竞投人相互串通竞投的；</w:t>
      </w:r>
    </w:p>
    <w:p>
      <w:pPr>
        <w:spacing w:line="460" w:lineRule="exact"/>
        <w:ind w:firstLine="480" w:firstLineChars="200"/>
        <w:rPr>
          <w:rFonts w:ascii="宋体" w:hAnsi="宋体"/>
          <w:bCs/>
          <w:color w:val="000000"/>
          <w:sz w:val="24"/>
        </w:rPr>
      </w:pPr>
      <w:r>
        <w:rPr>
          <w:rFonts w:hint="eastAsia" w:ascii="宋体" w:hAnsi="宋体"/>
          <w:bCs/>
          <w:color w:val="000000"/>
          <w:sz w:val="24"/>
        </w:rPr>
        <w:t>5、竞投人采用不正当手段竞得标的物的；</w:t>
      </w:r>
    </w:p>
    <w:p>
      <w:pPr>
        <w:spacing w:line="460" w:lineRule="exact"/>
        <w:ind w:firstLine="480" w:firstLineChars="200"/>
        <w:rPr>
          <w:rFonts w:ascii="宋体" w:hAnsi="宋体"/>
          <w:bCs/>
          <w:color w:val="000000"/>
          <w:sz w:val="24"/>
        </w:rPr>
      </w:pPr>
      <w:r>
        <w:rPr>
          <w:rFonts w:hint="eastAsia" w:ascii="宋体" w:hAnsi="宋体"/>
          <w:bCs/>
          <w:color w:val="000000"/>
          <w:sz w:val="24"/>
        </w:rPr>
        <w:t>6、竞得人提供虚假材料或虚假情况的；</w:t>
      </w:r>
    </w:p>
    <w:p>
      <w:pPr>
        <w:spacing w:line="460" w:lineRule="exact"/>
        <w:ind w:firstLine="480" w:firstLineChars="200"/>
        <w:rPr>
          <w:rFonts w:ascii="宋体" w:hAnsi="宋体"/>
          <w:bCs/>
          <w:color w:val="000000"/>
          <w:sz w:val="24"/>
        </w:rPr>
      </w:pPr>
      <w:r>
        <w:rPr>
          <w:rFonts w:hint="eastAsia" w:ascii="宋体" w:hAnsi="宋体"/>
          <w:bCs/>
          <w:color w:val="000000"/>
          <w:sz w:val="24"/>
        </w:rPr>
        <w:t>7、竞投人未按照竞价文件要求准时参加竞投报到并造成本次交易失败的；</w:t>
      </w:r>
    </w:p>
    <w:p>
      <w:pPr>
        <w:spacing w:line="460" w:lineRule="exact"/>
        <w:ind w:firstLine="480" w:firstLineChars="200"/>
        <w:rPr>
          <w:rFonts w:ascii="宋体" w:hAnsi="宋体"/>
          <w:bCs/>
          <w:color w:val="000000"/>
          <w:sz w:val="24"/>
        </w:rPr>
      </w:pPr>
      <w:r>
        <w:rPr>
          <w:rFonts w:hint="eastAsia" w:ascii="宋体" w:hAnsi="宋体"/>
          <w:bCs/>
          <w:color w:val="000000"/>
          <w:sz w:val="24"/>
        </w:rPr>
        <w:t>8、竞投人在竞价会议开始后结束前未经本公司许可，擅自离开竞投现场并造成本次交易失败的；</w:t>
      </w:r>
    </w:p>
    <w:p>
      <w:pPr>
        <w:spacing w:line="460" w:lineRule="exact"/>
        <w:ind w:firstLine="480" w:firstLineChars="200"/>
        <w:rPr>
          <w:rFonts w:ascii="宋体" w:hAnsi="宋体"/>
          <w:bCs/>
          <w:color w:val="000000"/>
          <w:sz w:val="24"/>
        </w:rPr>
      </w:pPr>
      <w:r>
        <w:rPr>
          <w:rFonts w:hint="eastAsia" w:ascii="宋体" w:hAnsi="宋体"/>
          <w:bCs/>
          <w:color w:val="000000"/>
          <w:sz w:val="24"/>
        </w:rPr>
        <w:t>9、竞得人竞得标的物后反悔的（包括但不限于放弃该项目的成交权、拒绝签订《成交确认书》、拒绝签订合同）；</w:t>
      </w:r>
    </w:p>
    <w:p>
      <w:pPr>
        <w:spacing w:line="460" w:lineRule="exact"/>
        <w:ind w:firstLine="480" w:firstLineChars="200"/>
        <w:rPr>
          <w:rFonts w:ascii="宋体" w:hAnsi="宋体"/>
          <w:bCs/>
          <w:color w:val="000000"/>
          <w:sz w:val="24"/>
        </w:rPr>
      </w:pPr>
      <w:r>
        <w:rPr>
          <w:rFonts w:hint="eastAsia" w:ascii="宋体" w:hAnsi="宋体"/>
          <w:bCs/>
          <w:color w:val="000000"/>
          <w:sz w:val="24"/>
        </w:rPr>
        <w:t>10、其他法律法规规定的情形。</w:t>
      </w:r>
    </w:p>
    <w:p>
      <w:pPr>
        <w:pStyle w:val="4"/>
        <w:numPr>
          <w:ilvl w:val="2"/>
          <w:numId w:val="0"/>
        </w:numPr>
        <w:spacing w:before="240" w:after="240" w:line="460" w:lineRule="exact"/>
        <w:rPr>
          <w:rFonts w:ascii="宋体" w:hAnsi="宋体"/>
          <w:color w:val="000000"/>
          <w:sz w:val="24"/>
          <w:szCs w:val="24"/>
        </w:rPr>
      </w:pPr>
      <w:bookmarkStart w:id="71" w:name="_Toc23599"/>
      <w:bookmarkStart w:id="72" w:name="_Toc10646"/>
      <w:r>
        <w:rPr>
          <w:rFonts w:hint="eastAsia" w:ascii="宋体" w:hAnsi="宋体"/>
          <w:color w:val="000000"/>
          <w:sz w:val="24"/>
          <w:szCs w:val="24"/>
        </w:rPr>
        <w:t>十二、其他注意事项</w:t>
      </w:r>
      <w:bookmarkEnd w:id="71"/>
      <w:bookmarkEnd w:id="72"/>
    </w:p>
    <w:p>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pPr>
        <w:spacing w:line="460" w:lineRule="exact"/>
        <w:ind w:firstLine="480" w:firstLineChars="200"/>
        <w:rPr>
          <w:rFonts w:ascii="宋体" w:hAnsi="宋体"/>
          <w:color w:val="000000"/>
          <w:sz w:val="24"/>
        </w:rPr>
      </w:pPr>
      <w:r>
        <w:rPr>
          <w:rFonts w:hint="eastAsia" w:ascii="宋体" w:hAnsi="宋体"/>
          <w:color w:val="000000"/>
          <w:sz w:val="24"/>
        </w:rPr>
        <w:t>（四）本院不向落选竞投人解释落选原因。</w:t>
      </w:r>
    </w:p>
    <w:p>
      <w:pPr>
        <w:pStyle w:val="2"/>
        <w:spacing w:line="360" w:lineRule="auto"/>
        <w:jc w:val="center"/>
        <w:rPr>
          <w:rFonts w:ascii="宋体" w:hAnsi="宋体"/>
          <w:color w:val="000000"/>
          <w:sz w:val="72"/>
          <w:szCs w:val="72"/>
        </w:rPr>
      </w:pPr>
      <w:r>
        <w:rPr>
          <w:rFonts w:ascii="宋体" w:hAnsi="宋体"/>
          <w:color w:val="000000"/>
          <w:sz w:val="72"/>
          <w:szCs w:val="72"/>
        </w:rPr>
        <w:br w:type="page"/>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spacing w:line="360" w:lineRule="auto"/>
        <w:jc w:val="center"/>
        <w:rPr>
          <w:rFonts w:ascii="宋体" w:hAnsi="宋体"/>
          <w:color w:val="000000"/>
          <w:sz w:val="72"/>
          <w:szCs w:val="72"/>
        </w:rPr>
      </w:pPr>
      <w:bookmarkStart w:id="73" w:name="_Toc5363"/>
      <w:bookmarkStart w:id="74" w:name="_Toc8900"/>
      <w:r>
        <w:rPr>
          <w:rFonts w:hint="eastAsia" w:ascii="宋体" w:hAnsi="宋体"/>
          <w:color w:val="000000"/>
          <w:sz w:val="72"/>
          <w:szCs w:val="72"/>
        </w:rPr>
        <w:t>第三章 合同格式</w:t>
      </w:r>
      <w:bookmarkEnd w:id="73"/>
      <w:bookmarkEnd w:id="74"/>
    </w:p>
    <w:p>
      <w:pPr>
        <w:spacing w:line="360" w:lineRule="auto"/>
        <w:ind w:left="588" w:firstLine="3360" w:firstLineChars="1200"/>
        <w:rPr>
          <w:rFonts w:ascii="宋体" w:hAnsi="宋体" w:cs="宋体"/>
          <w:b/>
          <w:sz w:val="24"/>
          <w:szCs w:val="21"/>
        </w:rPr>
      </w:pPr>
      <w:r>
        <w:rPr>
          <w:rFonts w:ascii="宋体" w:hAnsi="宋体"/>
          <w:color w:val="000000"/>
          <w:sz w:val="28"/>
        </w:rPr>
        <w:br w:type="page"/>
      </w:r>
      <w:bookmarkStart w:id="75" w:name="_Toc435115055"/>
      <w:bookmarkStart w:id="76" w:name="_Toc435109307"/>
      <w:bookmarkStart w:id="77" w:name="_Toc435514850"/>
      <w:bookmarkStart w:id="78" w:name="_Toc322448792"/>
      <w:r>
        <w:rPr>
          <w:rFonts w:hint="eastAsia" w:ascii="宋体" w:hAnsi="宋体" w:cs="宋体"/>
          <w:b/>
          <w:sz w:val="24"/>
          <w:szCs w:val="21"/>
        </w:rPr>
        <w:t>合同通用条款</w:t>
      </w:r>
      <w:bookmarkEnd w:id="75"/>
      <w:bookmarkEnd w:id="76"/>
      <w:bookmarkEnd w:id="77"/>
    </w:p>
    <w:p>
      <w:pPr>
        <w:tabs>
          <w:tab w:val="left" w:pos="720"/>
        </w:tabs>
        <w:spacing w:line="360" w:lineRule="auto"/>
        <w:rPr>
          <w:rFonts w:ascii="宋体" w:hAnsi="宋体" w:cs="宋体"/>
          <w:szCs w:val="21"/>
        </w:rPr>
      </w:pPr>
      <w:r>
        <w:rPr>
          <w:rFonts w:hint="eastAsia" w:ascii="宋体" w:hAnsi="宋体" w:cs="宋体"/>
          <w:szCs w:val="21"/>
        </w:rPr>
        <w:t>甲    方（采购人）：</w:t>
      </w:r>
    </w:p>
    <w:p>
      <w:pPr>
        <w:spacing w:line="360" w:lineRule="auto"/>
        <w:rPr>
          <w:rFonts w:ascii="宋体" w:hAnsi="宋体" w:cs="宋体"/>
          <w:szCs w:val="21"/>
        </w:rPr>
      </w:pPr>
      <w:r>
        <w:rPr>
          <w:rFonts w:hint="eastAsia" w:ascii="宋体" w:hAnsi="宋体" w:cs="宋体"/>
          <w:szCs w:val="21"/>
        </w:rPr>
        <w:t>电    话：           　   传  真：           地  址：</w:t>
      </w:r>
    </w:p>
    <w:p>
      <w:pPr>
        <w:spacing w:line="360" w:lineRule="auto"/>
        <w:rPr>
          <w:rFonts w:ascii="宋体" w:hAnsi="宋体" w:cs="宋体"/>
          <w:szCs w:val="21"/>
        </w:rPr>
      </w:pPr>
      <w:r>
        <w:rPr>
          <w:rFonts w:hint="eastAsia" w:ascii="宋体" w:hAnsi="宋体" w:cs="宋体"/>
          <w:szCs w:val="21"/>
        </w:rPr>
        <w:t>乙    方（</w:t>
      </w:r>
      <w:r>
        <w:rPr>
          <w:rFonts w:hint="eastAsia" w:ascii="宋体" w:hAnsi="宋体" w:cs="宋体"/>
          <w:szCs w:val="21"/>
          <w:lang w:val="en-US" w:eastAsia="zh-CN"/>
        </w:rPr>
        <w:t>中选</w:t>
      </w:r>
      <w:r>
        <w:rPr>
          <w:rFonts w:hint="eastAsia" w:ascii="宋体" w:hAnsi="宋体" w:cs="宋体"/>
          <w:szCs w:val="21"/>
        </w:rPr>
        <w:t>人）：</w:t>
      </w:r>
    </w:p>
    <w:p>
      <w:pPr>
        <w:spacing w:line="360" w:lineRule="auto"/>
        <w:rPr>
          <w:rFonts w:ascii="宋体" w:hAnsi="宋体" w:cs="宋体"/>
          <w:szCs w:val="21"/>
        </w:rPr>
      </w:pPr>
      <w:r>
        <w:rPr>
          <w:rFonts w:hint="eastAsia" w:ascii="宋体" w:hAnsi="宋体" w:cs="宋体"/>
          <w:szCs w:val="21"/>
        </w:rPr>
        <w:t>电    话：                传  真：           地  址：</w:t>
      </w:r>
    </w:p>
    <w:p>
      <w:pPr>
        <w:tabs>
          <w:tab w:val="left" w:pos="720"/>
        </w:tabs>
        <w:spacing w:line="360" w:lineRule="auto"/>
        <w:rPr>
          <w:rFonts w:ascii="宋体" w:hAnsi="宋体" w:cs="宋体"/>
          <w:szCs w:val="21"/>
        </w:rPr>
      </w:pPr>
      <w:r>
        <w:rPr>
          <w:rFonts w:hint="eastAsia" w:ascii="宋体" w:hAnsi="宋体" w:cs="宋体"/>
          <w:szCs w:val="21"/>
        </w:rPr>
        <w:t>项目名称：                                   项目编号：</w:t>
      </w:r>
    </w:p>
    <w:p>
      <w:pPr>
        <w:spacing w:line="360" w:lineRule="auto"/>
        <w:rPr>
          <w:rFonts w:ascii="宋体" w:hAnsi="宋体" w:cs="宋体"/>
          <w:szCs w:val="21"/>
        </w:rPr>
      </w:pPr>
      <w:r>
        <w:rPr>
          <w:rFonts w:hint="eastAsia" w:ascii="宋体" w:hAnsi="宋体" w:cs="宋体"/>
          <w:szCs w:val="21"/>
        </w:rPr>
        <w:t xml:space="preserve">    根据</w:t>
      </w:r>
      <w:r>
        <w:rPr>
          <w:rFonts w:hint="eastAsia" w:ascii="宋体" w:hAnsi="宋体" w:cs="宋体"/>
          <w:szCs w:val="21"/>
          <w:u w:val="single"/>
        </w:rPr>
        <w:t xml:space="preserve">  </w:t>
      </w:r>
      <w:r>
        <w:rPr>
          <w:rFonts w:hint="eastAsia" w:ascii="宋体" w:hAnsi="宋体" w:cs="宋体"/>
          <w:szCs w:val="21"/>
        </w:rPr>
        <w:t>（项目编号：）的采购结果，经双方协商，本着平等互利和诚实信用的原则，一致同意签订本合同如下。</w:t>
      </w:r>
    </w:p>
    <w:p>
      <w:pPr>
        <w:numPr>
          <w:ilvl w:val="0"/>
          <w:numId w:val="6"/>
        </w:numPr>
        <w:tabs>
          <w:tab w:val="left" w:pos="425"/>
        </w:tabs>
        <w:spacing w:line="420" w:lineRule="auto"/>
        <w:ind w:left="0" w:firstLine="0"/>
        <w:outlineLvl w:val="2"/>
        <w:rPr>
          <w:rFonts w:ascii="宋体" w:hAnsi="宋体" w:cs="宋体"/>
          <w:b/>
          <w:szCs w:val="21"/>
        </w:rPr>
      </w:pPr>
      <w:r>
        <w:rPr>
          <w:rFonts w:hint="eastAsia" w:ascii="宋体" w:hAnsi="宋体" w:cs="宋体"/>
          <w:b/>
          <w:szCs w:val="21"/>
        </w:rPr>
        <w:t xml:space="preserve">货物内容 </w:t>
      </w:r>
    </w:p>
    <w:tbl>
      <w:tblPr>
        <w:tblStyle w:val="29"/>
        <w:tblW w:w="912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4"/>
        <w:gridCol w:w="1250"/>
        <w:gridCol w:w="3209"/>
        <w:gridCol w:w="974"/>
        <w:gridCol w:w="974"/>
        <w:gridCol w:w="1169"/>
        <w:gridCol w:w="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574" w:type="dxa"/>
            <w:vAlign w:val="center"/>
          </w:tcPr>
          <w:p>
            <w:pPr>
              <w:ind w:left="-65" w:leftChars="-31" w:right="-92" w:rightChars="-44"/>
              <w:jc w:val="center"/>
              <w:rPr>
                <w:rFonts w:ascii="宋体" w:hAnsi="宋体" w:cs="宋体"/>
                <w:szCs w:val="21"/>
              </w:rPr>
            </w:pPr>
            <w:r>
              <w:rPr>
                <w:rFonts w:hint="eastAsia" w:ascii="宋体" w:hAnsi="宋体" w:cs="宋体"/>
                <w:szCs w:val="21"/>
              </w:rPr>
              <w:t>序号</w:t>
            </w:r>
          </w:p>
        </w:tc>
        <w:tc>
          <w:tcPr>
            <w:tcW w:w="1250" w:type="dxa"/>
            <w:vAlign w:val="center"/>
          </w:tcPr>
          <w:p>
            <w:pPr>
              <w:ind w:left="-65" w:leftChars="-31" w:right="-92" w:rightChars="-44"/>
              <w:jc w:val="center"/>
              <w:rPr>
                <w:rFonts w:ascii="宋体" w:hAnsi="宋体" w:cs="宋体"/>
                <w:szCs w:val="21"/>
              </w:rPr>
            </w:pPr>
            <w:r>
              <w:rPr>
                <w:rFonts w:hint="eastAsia" w:ascii="宋体" w:hAnsi="宋体" w:cs="宋体"/>
                <w:szCs w:val="21"/>
              </w:rPr>
              <w:t>商品名称</w:t>
            </w:r>
          </w:p>
        </w:tc>
        <w:tc>
          <w:tcPr>
            <w:tcW w:w="3209" w:type="dxa"/>
            <w:vAlign w:val="center"/>
          </w:tcPr>
          <w:p>
            <w:pPr>
              <w:ind w:left="-65" w:leftChars="-31" w:right="-92" w:rightChars="-44"/>
              <w:jc w:val="center"/>
              <w:rPr>
                <w:rFonts w:ascii="宋体" w:hAnsi="宋体" w:cs="宋体"/>
                <w:szCs w:val="21"/>
              </w:rPr>
            </w:pPr>
            <w:r>
              <w:rPr>
                <w:rFonts w:hint="eastAsia" w:ascii="宋体" w:hAnsi="宋体" w:cs="宋体"/>
                <w:szCs w:val="21"/>
              </w:rPr>
              <w:t>品牌、规格型号、配置（性能参数）</w:t>
            </w:r>
          </w:p>
        </w:tc>
        <w:tc>
          <w:tcPr>
            <w:tcW w:w="974" w:type="dxa"/>
            <w:vAlign w:val="center"/>
          </w:tcPr>
          <w:p>
            <w:pPr>
              <w:ind w:left="-65" w:leftChars="-31" w:right="-92" w:rightChars="-44"/>
              <w:jc w:val="center"/>
              <w:rPr>
                <w:rFonts w:ascii="宋体" w:hAnsi="宋体" w:cs="宋体"/>
                <w:szCs w:val="21"/>
              </w:rPr>
            </w:pPr>
            <w:r>
              <w:rPr>
                <w:rFonts w:hint="eastAsia" w:ascii="宋体" w:hAnsi="宋体" w:cs="宋体"/>
                <w:szCs w:val="21"/>
              </w:rPr>
              <w:t>产地</w:t>
            </w:r>
          </w:p>
        </w:tc>
        <w:tc>
          <w:tcPr>
            <w:tcW w:w="974" w:type="dxa"/>
            <w:vAlign w:val="center"/>
          </w:tcPr>
          <w:p>
            <w:pPr>
              <w:ind w:left="-65" w:leftChars="-31" w:right="-92" w:rightChars="-44"/>
              <w:jc w:val="center"/>
              <w:rPr>
                <w:rFonts w:ascii="宋体" w:hAnsi="宋体" w:cs="宋体"/>
                <w:szCs w:val="21"/>
              </w:rPr>
            </w:pPr>
            <w:r>
              <w:rPr>
                <w:rFonts w:hint="eastAsia" w:ascii="宋体" w:hAnsi="宋体" w:cs="宋体"/>
                <w:szCs w:val="21"/>
              </w:rPr>
              <w:t>数量</w:t>
            </w:r>
          </w:p>
        </w:tc>
        <w:tc>
          <w:tcPr>
            <w:tcW w:w="1169" w:type="dxa"/>
            <w:vAlign w:val="center"/>
          </w:tcPr>
          <w:p>
            <w:pPr>
              <w:ind w:left="-65" w:leftChars="-31" w:right="-92" w:rightChars="-44"/>
              <w:jc w:val="center"/>
              <w:rPr>
                <w:rFonts w:ascii="宋体" w:hAnsi="宋体" w:cs="宋体"/>
                <w:szCs w:val="21"/>
              </w:rPr>
            </w:pPr>
            <w:r>
              <w:rPr>
                <w:rFonts w:hint="eastAsia" w:ascii="宋体" w:hAnsi="宋体" w:cs="宋体"/>
                <w:szCs w:val="21"/>
              </w:rPr>
              <w:t>单价(元)</w:t>
            </w:r>
          </w:p>
        </w:tc>
        <w:tc>
          <w:tcPr>
            <w:tcW w:w="974" w:type="dxa"/>
            <w:vAlign w:val="center"/>
          </w:tcPr>
          <w:p>
            <w:pPr>
              <w:ind w:left="-65" w:leftChars="-31" w:right="-92" w:rightChars="-44"/>
              <w:jc w:val="center"/>
              <w:rPr>
                <w:rFonts w:ascii="宋体" w:hAnsi="宋体" w:cs="宋体"/>
                <w:szCs w:val="21"/>
              </w:rPr>
            </w:pPr>
            <w:r>
              <w:rPr>
                <w:rFonts w:hint="eastAsia" w:ascii="宋体" w:hAnsi="宋体" w:cs="宋体"/>
                <w:szCs w:val="21"/>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574" w:type="dxa"/>
            <w:vAlign w:val="center"/>
          </w:tcPr>
          <w:p>
            <w:pPr>
              <w:jc w:val="center"/>
              <w:rPr>
                <w:rFonts w:ascii="宋体" w:hAnsi="宋体" w:cs="宋体"/>
                <w:szCs w:val="21"/>
              </w:rPr>
            </w:pPr>
            <w:r>
              <w:rPr>
                <w:rFonts w:hint="eastAsia" w:ascii="宋体" w:hAnsi="宋体" w:cs="宋体"/>
                <w:szCs w:val="21"/>
              </w:rPr>
              <w:t>1</w:t>
            </w:r>
          </w:p>
        </w:tc>
        <w:tc>
          <w:tcPr>
            <w:tcW w:w="1250" w:type="dxa"/>
            <w:vAlign w:val="center"/>
          </w:tcPr>
          <w:p>
            <w:pPr>
              <w:rPr>
                <w:rFonts w:ascii="宋体" w:hAnsi="宋体" w:cs="宋体"/>
                <w:szCs w:val="21"/>
              </w:rPr>
            </w:pPr>
          </w:p>
        </w:tc>
        <w:tc>
          <w:tcPr>
            <w:tcW w:w="3209"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1169" w:type="dxa"/>
            <w:vAlign w:val="center"/>
          </w:tcPr>
          <w:p>
            <w:pPr>
              <w:rPr>
                <w:rFonts w:ascii="宋体" w:hAnsi="宋体" w:cs="宋体"/>
                <w:szCs w:val="21"/>
              </w:rPr>
            </w:pPr>
          </w:p>
        </w:tc>
        <w:tc>
          <w:tcPr>
            <w:tcW w:w="97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574" w:type="dxa"/>
            <w:vAlign w:val="center"/>
          </w:tcPr>
          <w:p>
            <w:pPr>
              <w:jc w:val="center"/>
              <w:rPr>
                <w:rFonts w:ascii="宋体" w:hAnsi="宋体" w:cs="宋体"/>
                <w:szCs w:val="21"/>
              </w:rPr>
            </w:pPr>
            <w:r>
              <w:rPr>
                <w:rFonts w:hint="eastAsia" w:ascii="宋体" w:hAnsi="宋体" w:cs="宋体"/>
                <w:szCs w:val="21"/>
              </w:rPr>
              <w:t>2</w:t>
            </w:r>
          </w:p>
        </w:tc>
        <w:tc>
          <w:tcPr>
            <w:tcW w:w="1250" w:type="dxa"/>
            <w:vAlign w:val="center"/>
          </w:tcPr>
          <w:p>
            <w:pPr>
              <w:rPr>
                <w:rFonts w:ascii="宋体" w:hAnsi="宋体" w:cs="宋体"/>
                <w:szCs w:val="21"/>
              </w:rPr>
            </w:pPr>
          </w:p>
        </w:tc>
        <w:tc>
          <w:tcPr>
            <w:tcW w:w="3209"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1169" w:type="dxa"/>
            <w:vAlign w:val="center"/>
          </w:tcPr>
          <w:p>
            <w:pPr>
              <w:rPr>
                <w:rFonts w:ascii="宋体" w:hAnsi="宋体" w:cs="宋体"/>
                <w:szCs w:val="21"/>
              </w:rPr>
            </w:pPr>
          </w:p>
        </w:tc>
        <w:tc>
          <w:tcPr>
            <w:tcW w:w="97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574" w:type="dxa"/>
            <w:vAlign w:val="center"/>
          </w:tcPr>
          <w:p>
            <w:pPr>
              <w:jc w:val="center"/>
              <w:rPr>
                <w:rFonts w:ascii="宋体" w:hAnsi="宋体" w:cs="宋体"/>
                <w:szCs w:val="21"/>
              </w:rPr>
            </w:pPr>
            <w:r>
              <w:rPr>
                <w:rFonts w:hint="eastAsia" w:ascii="宋体" w:hAnsi="宋体" w:cs="宋体"/>
                <w:szCs w:val="21"/>
              </w:rPr>
              <w:t>3</w:t>
            </w:r>
          </w:p>
        </w:tc>
        <w:tc>
          <w:tcPr>
            <w:tcW w:w="1250" w:type="dxa"/>
            <w:vAlign w:val="center"/>
          </w:tcPr>
          <w:p>
            <w:pPr>
              <w:rPr>
                <w:rFonts w:ascii="宋体" w:hAnsi="宋体" w:cs="宋体"/>
                <w:szCs w:val="21"/>
              </w:rPr>
            </w:pPr>
          </w:p>
        </w:tc>
        <w:tc>
          <w:tcPr>
            <w:tcW w:w="3209"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974" w:type="dxa"/>
            <w:vAlign w:val="center"/>
          </w:tcPr>
          <w:p>
            <w:pPr>
              <w:rPr>
                <w:rFonts w:ascii="宋体" w:hAnsi="宋体" w:cs="宋体"/>
                <w:szCs w:val="21"/>
              </w:rPr>
            </w:pPr>
          </w:p>
        </w:tc>
        <w:tc>
          <w:tcPr>
            <w:tcW w:w="1169" w:type="dxa"/>
            <w:vAlign w:val="center"/>
          </w:tcPr>
          <w:p>
            <w:pPr>
              <w:rPr>
                <w:rFonts w:ascii="宋体" w:hAnsi="宋体" w:cs="宋体"/>
                <w:szCs w:val="21"/>
              </w:rPr>
            </w:pPr>
          </w:p>
        </w:tc>
        <w:tc>
          <w:tcPr>
            <w:tcW w:w="97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9124" w:type="dxa"/>
            <w:gridSpan w:val="7"/>
            <w:vAlign w:val="center"/>
          </w:tcPr>
          <w:p>
            <w:pPr>
              <w:rPr>
                <w:rFonts w:ascii="宋体" w:hAnsi="宋体" w:cs="宋体"/>
                <w:szCs w:val="21"/>
              </w:rPr>
            </w:pPr>
            <w:r>
              <w:rPr>
                <w:rFonts w:hint="eastAsia" w:ascii="宋体" w:hAnsi="宋体" w:cs="宋体"/>
                <w:szCs w:val="21"/>
              </w:rPr>
              <w:t xml:space="preserve">  合计总额：￥ 元；    大写：</w:t>
            </w:r>
          </w:p>
        </w:tc>
      </w:tr>
    </w:tbl>
    <w:p>
      <w:pPr>
        <w:snapToGrid w:val="0"/>
        <w:spacing w:line="360" w:lineRule="auto"/>
        <w:ind w:firstLine="420" w:firstLineChars="200"/>
        <w:rPr>
          <w:rFonts w:ascii="宋体" w:hAnsi="宋体" w:cs="宋体"/>
          <w:szCs w:val="21"/>
        </w:rPr>
      </w:pPr>
      <w:r>
        <w:rPr>
          <w:rFonts w:hint="eastAsia" w:ascii="宋体" w:hAnsi="宋体" w:cs="宋体"/>
          <w:szCs w:val="21"/>
        </w:rPr>
        <w:t>合同总额包括乙方设计、安装、随机零配件、标配工具、运输保险、调试、培训、质保期服务、各项税费及合同实施过程中</w:t>
      </w:r>
      <w:r>
        <w:rPr>
          <w:rFonts w:hint="default" w:ascii="宋体" w:hAnsi="宋体" w:cs="宋体"/>
          <w:szCs w:val="21"/>
          <w:lang w:val="en-US"/>
        </w:rPr>
        <w:t>不可预见</w:t>
      </w:r>
      <w:r>
        <w:rPr>
          <w:rFonts w:hint="eastAsia" w:ascii="宋体" w:hAnsi="宋体" w:cs="宋体"/>
          <w:szCs w:val="21"/>
        </w:rPr>
        <w:t>费用等项目相关的一切费用。</w:t>
      </w:r>
    </w:p>
    <w:p>
      <w:pPr>
        <w:snapToGrid w:val="0"/>
        <w:spacing w:line="360" w:lineRule="auto"/>
        <w:ind w:firstLine="420" w:firstLineChars="200"/>
        <w:rPr>
          <w:rFonts w:ascii="宋体" w:hAnsi="宋体" w:cs="宋体"/>
          <w:szCs w:val="21"/>
        </w:rPr>
      </w:pPr>
      <w:r>
        <w:rPr>
          <w:rFonts w:hint="eastAsia" w:ascii="宋体" w:hAnsi="宋体" w:cs="宋体"/>
          <w:szCs w:val="21"/>
        </w:rPr>
        <w:t>注：货物名称内容必须与</w:t>
      </w:r>
      <w:r>
        <w:rPr>
          <w:rFonts w:hint="eastAsia" w:ascii="宋体" w:hAnsi="宋体" w:cs="宋体"/>
          <w:szCs w:val="21"/>
          <w:lang w:val="en-US" w:eastAsia="zh-CN"/>
        </w:rPr>
        <w:t>竞投</w:t>
      </w:r>
      <w:r>
        <w:rPr>
          <w:rFonts w:hint="eastAsia" w:ascii="宋体" w:hAnsi="宋体" w:cs="宋体"/>
          <w:szCs w:val="21"/>
        </w:rPr>
        <w:t>文件中货物名称内容一致。</w:t>
      </w:r>
    </w:p>
    <w:p>
      <w:pPr>
        <w:numPr>
          <w:ilvl w:val="0"/>
          <w:numId w:val="6"/>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合同金额</w:t>
      </w:r>
    </w:p>
    <w:p>
      <w:pPr>
        <w:pStyle w:val="17"/>
        <w:adjustRightInd w:val="0"/>
        <w:snapToGrid w:val="0"/>
        <w:spacing w:line="360" w:lineRule="auto"/>
        <w:ind w:firstLine="420" w:firstLineChars="200"/>
        <w:rPr>
          <w:rFonts w:hAnsi="宋体" w:cs="宋体"/>
        </w:rPr>
      </w:pPr>
      <w:r>
        <w:rPr>
          <w:rFonts w:hint="eastAsia" w:hAnsi="宋体" w:cs="宋体"/>
        </w:rPr>
        <w:t>合同金额为（大写）：元（￥元）。</w:t>
      </w:r>
    </w:p>
    <w:p>
      <w:pPr>
        <w:numPr>
          <w:ilvl w:val="0"/>
          <w:numId w:val="6"/>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设备要求</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货物为原制造商制造的全新产品，整机无污染，无侵权行为、表面无划损、无任何缺陷隐患，在中国境内可依常规安全合法使用。</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rPr>
        <w:t>交付验收标准依次序对照适用标准为：①符合中华人民共和国国家安全质量标准、环保标准或行业标准；②符合</w:t>
      </w:r>
      <w:r>
        <w:rPr>
          <w:rFonts w:hint="eastAsia" w:ascii="宋体" w:hAnsi="宋体" w:cs="宋体"/>
          <w:szCs w:val="21"/>
          <w:lang w:val="en-US" w:eastAsia="zh-CN"/>
        </w:rPr>
        <w:t>竞价</w:t>
      </w:r>
      <w:r>
        <w:rPr>
          <w:rFonts w:hint="eastAsia" w:ascii="宋体" w:hAnsi="宋体" w:cs="宋体"/>
          <w:szCs w:val="21"/>
        </w:rPr>
        <w:t>文件和响应承诺中甲方认可的合理最佳配置、参数及各项要求；③货物来源国官方标准。</w:t>
      </w:r>
    </w:p>
    <w:p>
      <w:pPr>
        <w:numPr>
          <w:ilvl w:val="0"/>
          <w:numId w:val="7"/>
        </w:numPr>
        <w:tabs>
          <w:tab w:val="left" w:pos="735"/>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货物为原厂商未启封全新包装，具出厂合格证，序列号、包装箱号与出厂批号一致，并可追索查阅。</w:t>
      </w:r>
    </w:p>
    <w:p>
      <w:pPr>
        <w:numPr>
          <w:ilvl w:val="0"/>
          <w:numId w:val="7"/>
        </w:numPr>
        <w:tabs>
          <w:tab w:val="left" w:pos="36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乙方应将关键主机设备的用户手册、保修手册、有关单证资料及配备件、随机工具等交付给甲方，使用操作及安全须知等重要资料应附有中文说明。</w:t>
      </w:r>
    </w:p>
    <w:p>
      <w:pPr>
        <w:numPr>
          <w:ilvl w:val="0"/>
          <w:numId w:val="6"/>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交货期、交货方式及交货地点</w:t>
      </w:r>
    </w:p>
    <w:p>
      <w:pPr>
        <w:numPr>
          <w:ilvl w:val="0"/>
          <w:numId w:val="8"/>
        </w:numPr>
        <w:autoSpaceDE w:val="0"/>
        <w:autoSpaceDN w:val="0"/>
        <w:adjustRightInd w:val="0"/>
        <w:snapToGrid w:val="0"/>
        <w:spacing w:line="360" w:lineRule="auto"/>
        <w:rPr>
          <w:rFonts w:ascii="宋体" w:hAnsi="宋体" w:cs="宋体"/>
          <w:szCs w:val="21"/>
        </w:rPr>
      </w:pPr>
      <w:r>
        <w:rPr>
          <w:rFonts w:hint="eastAsia" w:ascii="宋体" w:hAnsi="宋体" w:cs="宋体"/>
          <w:szCs w:val="21"/>
        </w:rPr>
        <w:t>交货期：</w:t>
      </w:r>
    </w:p>
    <w:p>
      <w:pPr>
        <w:numPr>
          <w:ilvl w:val="0"/>
          <w:numId w:val="8"/>
        </w:numPr>
        <w:autoSpaceDE w:val="0"/>
        <w:autoSpaceDN w:val="0"/>
        <w:adjustRightInd w:val="0"/>
        <w:snapToGrid w:val="0"/>
        <w:spacing w:line="360" w:lineRule="auto"/>
        <w:rPr>
          <w:rFonts w:ascii="宋体" w:hAnsi="宋体" w:cs="宋体"/>
          <w:szCs w:val="21"/>
        </w:rPr>
      </w:pPr>
      <w:r>
        <w:rPr>
          <w:rFonts w:hint="eastAsia" w:ascii="宋体" w:hAnsi="宋体" w:cs="宋体"/>
          <w:szCs w:val="21"/>
        </w:rPr>
        <w:t>交货方式：</w:t>
      </w:r>
    </w:p>
    <w:p>
      <w:pPr>
        <w:numPr>
          <w:ilvl w:val="0"/>
          <w:numId w:val="8"/>
        </w:numPr>
        <w:autoSpaceDE w:val="0"/>
        <w:autoSpaceDN w:val="0"/>
        <w:adjustRightInd w:val="0"/>
        <w:snapToGrid w:val="0"/>
        <w:spacing w:line="360" w:lineRule="auto"/>
        <w:rPr>
          <w:rFonts w:ascii="宋体" w:hAnsi="宋体" w:cs="宋体"/>
          <w:szCs w:val="21"/>
        </w:rPr>
      </w:pPr>
      <w:r>
        <w:rPr>
          <w:rFonts w:hint="eastAsia" w:ascii="宋体" w:hAnsi="宋体" w:cs="宋体"/>
          <w:szCs w:val="21"/>
        </w:rPr>
        <w:t>交货地点：</w:t>
      </w:r>
    </w:p>
    <w:p>
      <w:pPr>
        <w:numPr>
          <w:ilvl w:val="0"/>
          <w:numId w:val="6"/>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付款方式</w:t>
      </w:r>
    </w:p>
    <w:p>
      <w:pPr>
        <w:spacing w:line="360" w:lineRule="auto"/>
        <w:ind w:firstLine="315" w:firstLineChars="150"/>
        <w:rPr>
          <w:rFonts w:ascii="宋体" w:hAnsi="宋体" w:cs="宋体"/>
          <w:szCs w:val="21"/>
        </w:rPr>
      </w:pPr>
      <w:r>
        <w:rPr>
          <w:rFonts w:hint="eastAsia" w:ascii="宋体" w:hAnsi="宋体" w:cs="宋体"/>
          <w:szCs w:val="21"/>
        </w:rPr>
        <w:t>按</w:t>
      </w:r>
      <w:r>
        <w:rPr>
          <w:rFonts w:hint="eastAsia" w:ascii="宋体" w:hAnsi="宋体" w:cs="宋体"/>
          <w:szCs w:val="21"/>
          <w:lang w:val="en-US" w:eastAsia="zh-CN"/>
        </w:rPr>
        <w:t>竞价</w:t>
      </w:r>
      <w:r>
        <w:rPr>
          <w:rFonts w:hint="eastAsia" w:ascii="宋体" w:hAnsi="宋体" w:cs="宋体"/>
          <w:szCs w:val="21"/>
        </w:rPr>
        <w:t>文件用户需求书中的规定执行</w:t>
      </w:r>
      <w:r>
        <w:rPr>
          <w:rFonts w:hint="eastAsia" w:ascii="宋体" w:hAnsi="宋体" w:cs="宋体"/>
          <w:szCs w:val="21"/>
          <w:lang w:eastAsia="zh-CN"/>
        </w:rPr>
        <w:t>，</w:t>
      </w:r>
      <w:r>
        <w:rPr>
          <w:rFonts w:hint="eastAsia" w:ascii="宋体" w:hAnsi="宋体" w:cs="宋体"/>
          <w:szCs w:val="21"/>
        </w:rPr>
        <w:t>或以下方式：</w:t>
      </w:r>
    </w:p>
    <w:p>
      <w:pPr>
        <w:numPr>
          <w:ilvl w:val="0"/>
          <w:numId w:val="9"/>
        </w:numPr>
        <w:autoSpaceDE w:val="0"/>
        <w:autoSpaceDN w:val="0"/>
        <w:adjustRightInd w:val="0"/>
        <w:snapToGrid w:val="0"/>
        <w:spacing w:line="360" w:lineRule="auto"/>
        <w:jc w:val="left"/>
        <w:rPr>
          <w:rFonts w:hint="eastAsia" w:ascii="宋体" w:hAnsi="宋体"/>
          <w:szCs w:val="21"/>
        </w:rPr>
      </w:pPr>
      <w:r>
        <w:rPr>
          <w:rFonts w:hint="eastAsia" w:ascii="宋体" w:hAnsi="宋体"/>
          <w:szCs w:val="21"/>
        </w:rPr>
        <w:t>预付款：合同签订生效后5个工作日内，甲方向乙方支付合同总额的</w:t>
      </w:r>
      <w:r>
        <w:rPr>
          <w:rFonts w:hint="eastAsia" w:ascii="宋体" w:hAnsi="宋体"/>
          <w:szCs w:val="21"/>
          <w:lang w:val="en-US" w:eastAsia="zh-CN"/>
        </w:rPr>
        <w:t>70</w:t>
      </w:r>
      <w:r>
        <w:rPr>
          <w:rFonts w:hint="eastAsia" w:ascii="宋体" w:hAnsi="宋体"/>
          <w:szCs w:val="21"/>
        </w:rPr>
        <w:t xml:space="preserve"> %作为预付款。</w:t>
      </w:r>
    </w:p>
    <w:p>
      <w:pPr>
        <w:numPr>
          <w:ilvl w:val="0"/>
          <w:numId w:val="9"/>
        </w:numPr>
        <w:autoSpaceDE w:val="0"/>
        <w:autoSpaceDN w:val="0"/>
        <w:adjustRightInd w:val="0"/>
        <w:snapToGrid w:val="0"/>
        <w:spacing w:line="360" w:lineRule="auto"/>
        <w:jc w:val="left"/>
        <w:rPr>
          <w:rFonts w:hint="eastAsia" w:ascii="宋体" w:hAnsi="宋体"/>
          <w:szCs w:val="21"/>
        </w:rPr>
      </w:pPr>
      <w:r>
        <w:rPr>
          <w:rFonts w:hint="eastAsia" w:ascii="宋体" w:hAnsi="宋体"/>
          <w:szCs w:val="21"/>
        </w:rPr>
        <w:t>货物验收合格后15个工作日内，甲方向乙方支付合同总额的</w:t>
      </w:r>
      <w:r>
        <w:rPr>
          <w:rFonts w:hint="eastAsia" w:ascii="宋体" w:hAnsi="宋体"/>
          <w:szCs w:val="21"/>
          <w:lang w:val="en-US" w:eastAsia="zh-CN"/>
        </w:rPr>
        <w:t>20</w:t>
      </w:r>
      <w:r>
        <w:rPr>
          <w:rFonts w:hint="eastAsia" w:ascii="宋体" w:hAnsi="宋体"/>
          <w:szCs w:val="21"/>
        </w:rPr>
        <w:t>%。</w:t>
      </w:r>
    </w:p>
    <w:p>
      <w:pPr>
        <w:numPr>
          <w:ilvl w:val="0"/>
          <w:numId w:val="9"/>
        </w:numPr>
        <w:autoSpaceDE w:val="0"/>
        <w:autoSpaceDN w:val="0"/>
        <w:adjustRightInd w:val="0"/>
        <w:snapToGrid w:val="0"/>
        <w:spacing w:line="360" w:lineRule="auto"/>
        <w:jc w:val="left"/>
        <w:rPr>
          <w:rFonts w:hint="eastAsia" w:ascii="宋体" w:hAnsi="宋体"/>
          <w:szCs w:val="21"/>
        </w:rPr>
      </w:pPr>
      <w:r>
        <w:rPr>
          <w:rFonts w:hint="eastAsia" w:ascii="宋体" w:hAnsi="宋体"/>
          <w:szCs w:val="21"/>
        </w:rPr>
        <w:t>货物验收合格后满一年，甲方自期满之日起15个工作日内向乙方支付合同总额的</w:t>
      </w:r>
      <w:r>
        <w:rPr>
          <w:rFonts w:hint="eastAsia" w:ascii="宋体" w:hAnsi="宋体"/>
          <w:szCs w:val="21"/>
          <w:lang w:val="en-US" w:eastAsia="zh-CN"/>
        </w:rPr>
        <w:t>10</w:t>
      </w:r>
      <w:r>
        <w:rPr>
          <w:rFonts w:hint="eastAsia" w:ascii="宋体" w:hAnsi="宋体"/>
          <w:szCs w:val="21"/>
        </w:rPr>
        <w:t>%。</w:t>
      </w:r>
    </w:p>
    <w:p>
      <w:pPr>
        <w:numPr>
          <w:ilvl w:val="0"/>
          <w:numId w:val="9"/>
        </w:numPr>
        <w:autoSpaceDE w:val="0"/>
        <w:autoSpaceDN w:val="0"/>
        <w:adjustRightInd w:val="0"/>
        <w:snapToGrid w:val="0"/>
        <w:spacing w:line="360" w:lineRule="auto"/>
        <w:jc w:val="left"/>
        <w:rPr>
          <w:rFonts w:ascii="宋体" w:hAnsi="宋体"/>
          <w:kern w:val="21"/>
          <w:szCs w:val="21"/>
        </w:rPr>
      </w:pPr>
      <w:r>
        <w:rPr>
          <w:rFonts w:hint="eastAsia" w:ascii="宋体" w:hAnsi="宋体"/>
          <w:szCs w:val="21"/>
          <w:lang w:val="en-US" w:eastAsia="zh-CN"/>
        </w:rPr>
        <w:t>竞得</w:t>
      </w:r>
      <w:r>
        <w:rPr>
          <w:rFonts w:hint="eastAsia" w:ascii="宋体" w:hAnsi="宋体"/>
          <w:bCs/>
          <w:szCs w:val="21"/>
        </w:rPr>
        <w:t>人开具的</w:t>
      </w:r>
      <w:r>
        <w:rPr>
          <w:rFonts w:hint="eastAsia" w:ascii="宋体" w:hAnsi="宋体"/>
          <w:szCs w:val="21"/>
        </w:rPr>
        <w:t>相应金额的正式</w:t>
      </w:r>
      <w:r>
        <w:rPr>
          <w:rFonts w:hint="eastAsia" w:ascii="宋体" w:hAnsi="宋体"/>
          <w:b/>
          <w:szCs w:val="21"/>
        </w:rPr>
        <w:t>“增值税专用”</w:t>
      </w:r>
      <w:r>
        <w:rPr>
          <w:rFonts w:hint="eastAsia" w:ascii="宋体" w:hAnsi="宋体"/>
          <w:szCs w:val="21"/>
        </w:rPr>
        <w:t>发票。</w:t>
      </w:r>
    </w:p>
    <w:p>
      <w:pPr>
        <w:numPr>
          <w:ilvl w:val="0"/>
          <w:numId w:val="9"/>
        </w:numPr>
        <w:autoSpaceDE w:val="0"/>
        <w:autoSpaceDN w:val="0"/>
        <w:adjustRightInd w:val="0"/>
        <w:snapToGrid w:val="0"/>
        <w:spacing w:line="360" w:lineRule="auto"/>
        <w:jc w:val="left"/>
        <w:rPr>
          <w:rFonts w:ascii="宋体" w:hAnsi="宋体"/>
          <w:kern w:val="21"/>
          <w:szCs w:val="21"/>
        </w:rPr>
      </w:pPr>
      <w:r>
        <w:rPr>
          <w:rFonts w:hint="eastAsia" w:ascii="宋体" w:hAnsi="宋体"/>
          <w:szCs w:val="21"/>
        </w:rPr>
        <w:t>付款形式：采用支票、银行汇付（含电汇）等形式。</w:t>
      </w:r>
    </w:p>
    <w:p>
      <w:pPr>
        <w:numPr>
          <w:ilvl w:val="0"/>
          <w:numId w:val="9"/>
        </w:numPr>
        <w:autoSpaceDE w:val="0"/>
        <w:autoSpaceDN w:val="0"/>
        <w:adjustRightInd w:val="0"/>
        <w:snapToGrid w:val="0"/>
        <w:spacing w:line="360" w:lineRule="auto"/>
        <w:jc w:val="left"/>
        <w:rPr>
          <w:rFonts w:ascii="宋体" w:hAnsi="宋体"/>
          <w:szCs w:val="21"/>
        </w:rPr>
      </w:pPr>
      <w:r>
        <w:rPr>
          <w:rFonts w:hint="eastAsia" w:ascii="宋体" w:hAnsi="宋体" w:cs="宋体"/>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szCs w:val="21"/>
        </w:rPr>
        <w:t>。</w:t>
      </w:r>
    </w:p>
    <w:p>
      <w:pPr>
        <w:numPr>
          <w:ilvl w:val="0"/>
          <w:numId w:val="6"/>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质保期及售后服务要求</w:t>
      </w:r>
    </w:p>
    <w:p>
      <w:pPr>
        <w:numPr>
          <w:ilvl w:val="0"/>
          <w:numId w:val="10"/>
        </w:numPr>
        <w:autoSpaceDE w:val="0"/>
        <w:autoSpaceDN w:val="0"/>
        <w:adjustRightInd w:val="0"/>
        <w:snapToGrid w:val="0"/>
        <w:spacing w:line="360" w:lineRule="auto"/>
        <w:rPr>
          <w:rFonts w:ascii="宋体" w:hAnsi="宋体" w:cs="仿宋_GB2312"/>
          <w:szCs w:val="21"/>
        </w:rPr>
      </w:pPr>
      <w:r>
        <w:rPr>
          <w:rFonts w:hint="eastAsia" w:ascii="宋体" w:hAnsi="宋体" w:cs="宋体"/>
          <w:szCs w:val="21"/>
        </w:rPr>
        <w:t>本合同的质量保证期（简称“质保期”）为验收合格后</w:t>
      </w:r>
      <w:r>
        <w:rPr>
          <w:rFonts w:hint="eastAsia" w:ascii="宋体" w:hAnsi="宋体" w:cs="宋体"/>
          <w:szCs w:val="21"/>
          <w:u w:val="single"/>
        </w:rPr>
        <w:t xml:space="preserve"> </w:t>
      </w:r>
      <w:r>
        <w:rPr>
          <w:rFonts w:hint="eastAsia" w:ascii="宋体" w:hAnsi="宋体" w:cs="宋体"/>
          <w:szCs w:val="21"/>
          <w:u w:val="single"/>
          <w:lang w:val="en-US" w:eastAsia="zh-CN"/>
        </w:rPr>
        <w:t>一</w:t>
      </w:r>
      <w:r>
        <w:rPr>
          <w:rFonts w:hint="eastAsia" w:ascii="宋体" w:hAnsi="宋体" w:cs="宋体"/>
          <w:szCs w:val="21"/>
        </w:rPr>
        <w:t>年，质保期自货物最终验收合格之日起算，质保期内乙方对所供货物实行包修、包换、包退、包维护保养，期满后可同时提供终身 (免费/有偿) 维修保养服务。</w:t>
      </w:r>
    </w:p>
    <w:p>
      <w:pPr>
        <w:numPr>
          <w:ilvl w:val="0"/>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质保期内，如设备或零部件因非人为因素出现故障而造成短期停用时，则质保期和免费维修期相应顺延。如停用时间累计超过60天则质保期重新计算。</w:t>
      </w:r>
    </w:p>
    <w:p>
      <w:pPr>
        <w:numPr>
          <w:ilvl w:val="0"/>
          <w:numId w:val="10"/>
        </w:numPr>
        <w:autoSpaceDE w:val="0"/>
        <w:autoSpaceDN w:val="0"/>
        <w:adjustRightInd w:val="0"/>
        <w:snapToGrid w:val="0"/>
        <w:spacing w:line="360" w:lineRule="auto"/>
        <w:rPr>
          <w:rFonts w:ascii="宋体" w:hAnsi="宋体" w:cs="宋体"/>
          <w:szCs w:val="21"/>
        </w:rPr>
      </w:pPr>
      <w:r>
        <w:rPr>
          <w:rFonts w:hint="eastAsia" w:ascii="宋体" w:hAnsi="宋体" w:cs="宋体"/>
          <w:szCs w:val="21"/>
        </w:rPr>
        <w:t>对甲方的服务通知，乙方在接报后1小时内响应，</w:t>
      </w:r>
      <w:r>
        <w:rPr>
          <w:rFonts w:hint="eastAsia" w:ascii="宋体" w:hAnsi="宋体" w:cs="宋体"/>
          <w:szCs w:val="21"/>
          <w:lang w:val="en-US" w:eastAsia="zh-CN"/>
        </w:rPr>
        <w:t>24</w:t>
      </w:r>
      <w:r>
        <w:rPr>
          <w:rFonts w:hint="eastAsia" w:ascii="宋体" w:hAnsi="宋体" w:cs="宋体"/>
          <w:szCs w:val="21"/>
        </w:rPr>
        <w:t>小时内到达现场，</w:t>
      </w:r>
      <w:r>
        <w:rPr>
          <w:rFonts w:hint="eastAsia" w:ascii="宋体" w:hAnsi="宋体" w:cs="宋体"/>
          <w:szCs w:val="21"/>
          <w:lang w:val="en-US" w:eastAsia="zh-CN"/>
        </w:rPr>
        <w:t>36</w:t>
      </w:r>
      <w:r>
        <w:rPr>
          <w:rFonts w:hint="eastAsia" w:ascii="宋体" w:hAnsi="宋体" w:cs="宋体"/>
          <w:szCs w:val="21"/>
        </w:rPr>
        <w:t>小时内处理完毕。若在</w:t>
      </w:r>
      <w:r>
        <w:rPr>
          <w:rFonts w:hint="eastAsia" w:ascii="宋体" w:hAnsi="宋体" w:cs="宋体"/>
          <w:szCs w:val="21"/>
          <w:lang w:val="en-US" w:eastAsia="zh-CN"/>
        </w:rPr>
        <w:t>36</w:t>
      </w:r>
      <w:r>
        <w:rPr>
          <w:rFonts w:hint="eastAsia" w:ascii="宋体" w:hAnsi="宋体" w:cs="宋体"/>
          <w:szCs w:val="21"/>
        </w:rPr>
        <w:t>小时内仍未能有效解决，乙方须免费提供同档次的设备予甲方临时使用。</w:t>
      </w:r>
    </w:p>
    <w:p>
      <w:pPr>
        <w:numPr>
          <w:ilvl w:val="0"/>
          <w:numId w:val="6"/>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安装与调试</w:t>
      </w:r>
    </w:p>
    <w:p>
      <w:pPr>
        <w:autoSpaceDE w:val="0"/>
        <w:autoSpaceDN w:val="0"/>
        <w:adjustRightInd w:val="0"/>
        <w:snapToGrid w:val="0"/>
        <w:spacing w:line="360" w:lineRule="auto"/>
        <w:ind w:left="424" w:leftChars="202"/>
        <w:rPr>
          <w:rFonts w:ascii="宋体" w:hAnsi="宋体" w:cs="宋体"/>
          <w:szCs w:val="21"/>
        </w:rPr>
      </w:pPr>
      <w:r>
        <w:rPr>
          <w:rFonts w:hint="eastAsia" w:ascii="宋体" w:hAnsi="宋体" w:cs="宋体"/>
          <w:szCs w:val="21"/>
        </w:rPr>
        <w:t>乙方必须依照</w:t>
      </w:r>
      <w:r>
        <w:rPr>
          <w:rFonts w:hint="eastAsia" w:ascii="宋体" w:hAnsi="宋体" w:cs="宋体"/>
          <w:szCs w:val="21"/>
          <w:lang w:val="en-US" w:eastAsia="zh-CN"/>
        </w:rPr>
        <w:t>竞价公告</w:t>
      </w:r>
      <w:r>
        <w:rPr>
          <w:rFonts w:hint="eastAsia" w:ascii="宋体" w:hAnsi="宋体" w:cs="宋体"/>
          <w:szCs w:val="21"/>
        </w:rPr>
        <w:t>文件的要求和</w:t>
      </w:r>
      <w:r>
        <w:rPr>
          <w:rFonts w:hint="eastAsia" w:ascii="宋体" w:hAnsi="宋体" w:cs="宋体"/>
          <w:szCs w:val="21"/>
          <w:lang w:val="en-US" w:eastAsia="zh-CN"/>
        </w:rPr>
        <w:t>竞投</w:t>
      </w:r>
      <w:r>
        <w:rPr>
          <w:rFonts w:hint="eastAsia" w:ascii="宋体" w:hAnsi="宋体" w:cs="宋体"/>
          <w:szCs w:val="21"/>
        </w:rPr>
        <w:t>文件的承诺或技术协议中相关要求，将设备、系统安装并调试至正常运行的最佳状态。第一次现场安装调试时，供方需要派人去往设备安装现场进行指导，直至设备通过验收。</w:t>
      </w:r>
    </w:p>
    <w:p>
      <w:pPr>
        <w:numPr>
          <w:ilvl w:val="0"/>
          <w:numId w:val="6"/>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验收</w:t>
      </w:r>
    </w:p>
    <w:p>
      <w:pPr>
        <w:numPr>
          <w:ilvl w:val="0"/>
          <w:numId w:val="11"/>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1"/>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货物为原厂商未启封全新包装，具出厂合格证，序列号、包装箱号与出厂批号一致，并可追索查阅。所有随设备的附件必须齐全。</w:t>
      </w:r>
    </w:p>
    <w:p>
      <w:pPr>
        <w:numPr>
          <w:ilvl w:val="0"/>
          <w:numId w:val="11"/>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乙方应将关键主机设备的用户手册、保修手册、有关单证资料及配备件、随机工具等交付给甲方，使用操作及安全须知等重要资料应附有中文说明。</w:t>
      </w:r>
    </w:p>
    <w:p>
      <w:pPr>
        <w:numPr>
          <w:ilvl w:val="0"/>
          <w:numId w:val="11"/>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lang w:val="en-US" w:eastAsia="zh-CN"/>
        </w:rPr>
        <w:t>乙方交付的设备应符合相应的标准</w:t>
      </w:r>
      <w:r>
        <w:rPr>
          <w:rFonts w:hint="eastAsia" w:ascii="宋体" w:hAnsi="宋体" w:cs="宋体"/>
          <w:szCs w:val="21"/>
        </w:rPr>
        <w:t>：①符合中华人民共和国国家安全质量标准、环保标准或行业标准；②符合</w:t>
      </w:r>
      <w:r>
        <w:rPr>
          <w:rFonts w:hint="eastAsia" w:ascii="宋体" w:hAnsi="宋体" w:cs="宋体"/>
          <w:szCs w:val="21"/>
          <w:lang w:val="en-US" w:eastAsia="zh-CN"/>
        </w:rPr>
        <w:t>竞价</w:t>
      </w:r>
      <w:r>
        <w:rPr>
          <w:rFonts w:hint="eastAsia" w:ascii="宋体" w:hAnsi="宋体" w:cs="宋体"/>
          <w:szCs w:val="21"/>
        </w:rPr>
        <w:t>文件和响应承诺中甲方认可的合理最佳配置、参数及各项要求；③货物来源国官方标准。</w:t>
      </w:r>
    </w:p>
    <w:p>
      <w:pPr>
        <w:numPr>
          <w:ilvl w:val="0"/>
          <w:numId w:val="11"/>
        </w:numPr>
        <w:spacing w:line="360" w:lineRule="auto"/>
        <w:rPr>
          <w:rFonts w:ascii="宋体" w:hAnsi="宋体" w:cs="宋体"/>
          <w:szCs w:val="21"/>
        </w:rPr>
      </w:pPr>
      <w:r>
        <w:rPr>
          <w:rFonts w:hint="eastAsia" w:ascii="宋体" w:hAnsi="宋体"/>
          <w:szCs w:val="21"/>
        </w:rPr>
        <w:t>验收期间</w:t>
      </w:r>
      <w:r>
        <w:rPr>
          <w:rFonts w:hint="eastAsia" w:ascii="宋体" w:hAnsi="宋体"/>
          <w:szCs w:val="21"/>
          <w:lang w:val="en-US" w:eastAsia="zh-CN"/>
        </w:rPr>
        <w:t>竞得</w:t>
      </w:r>
      <w:r>
        <w:rPr>
          <w:rFonts w:hint="eastAsia" w:ascii="宋体" w:hAnsi="宋体"/>
          <w:szCs w:val="21"/>
        </w:rPr>
        <w:t>人负责对采购人进行免费的国内厂家培训；培训内容包括操作、运行、维护、修理等方面，并提供必需的培训资料。</w:t>
      </w:r>
      <w:r>
        <w:rPr>
          <w:rFonts w:hint="eastAsia" w:ascii="宋体" w:hAnsi="宋体" w:cs="宋体"/>
          <w:bCs/>
          <w:szCs w:val="21"/>
        </w:rPr>
        <w:t>受训时间、地点及受训人员由采购人确定，</w:t>
      </w:r>
      <w:r>
        <w:rPr>
          <w:rFonts w:hint="eastAsia" w:ascii="宋体" w:hAnsi="宋体" w:cs="宋体"/>
          <w:bCs/>
          <w:szCs w:val="21"/>
          <w:lang w:val="en-US" w:eastAsia="zh-CN"/>
        </w:rPr>
        <w:t>竞得</w:t>
      </w:r>
      <w:r>
        <w:rPr>
          <w:rFonts w:hint="eastAsia" w:ascii="宋体" w:hAnsi="宋体" w:cs="宋体"/>
          <w:bCs/>
          <w:szCs w:val="21"/>
        </w:rPr>
        <w:t>人向受训人员详细讲解设备和系统的操作，确保受训人员能够进行独立的现场操作</w:t>
      </w:r>
      <w:r>
        <w:rPr>
          <w:rFonts w:hint="eastAsia" w:ascii="宋体" w:hAnsi="宋体"/>
          <w:szCs w:val="21"/>
        </w:rPr>
        <w:t>。</w:t>
      </w:r>
    </w:p>
    <w:p>
      <w:pPr>
        <w:numPr>
          <w:ilvl w:val="0"/>
          <w:numId w:val="6"/>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违约责任与赔偿损失</w:t>
      </w:r>
    </w:p>
    <w:p>
      <w:pPr>
        <w:numPr>
          <w:ilvl w:val="0"/>
          <w:numId w:val="1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乙方交付的货物、工程/提供的服务不符合</w:t>
      </w:r>
      <w:r>
        <w:rPr>
          <w:rFonts w:hint="eastAsia" w:ascii="宋体" w:hAnsi="宋体" w:cs="宋体"/>
          <w:szCs w:val="21"/>
          <w:lang w:val="en-US" w:eastAsia="zh-CN"/>
        </w:rPr>
        <w:t>竞价</w:t>
      </w:r>
      <w:r>
        <w:rPr>
          <w:rFonts w:hint="eastAsia" w:ascii="宋体" w:hAnsi="宋体" w:cs="宋体"/>
          <w:szCs w:val="21"/>
        </w:rPr>
        <w:t>文件或本合同规定的，甲方有权拒收，并且乙方须向甲方支付本合同总价5%的违约金。</w:t>
      </w:r>
    </w:p>
    <w:p>
      <w:pPr>
        <w:numPr>
          <w:ilvl w:val="0"/>
          <w:numId w:val="1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rPr>
        <w:t>甲方无正当理由拒收货物/接受服务，到期拒付货物/服务款项的，甲方向乙方偿付本合同总价的5%的违约金。甲方逾期付款，则每日按本合同总价的3‰向乙方偿付违约金。</w:t>
      </w:r>
    </w:p>
    <w:p>
      <w:pPr>
        <w:numPr>
          <w:ilvl w:val="0"/>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rPr>
        <w:t>其它违约责任按《中华人民共和国合同法》处理。</w:t>
      </w:r>
    </w:p>
    <w:p>
      <w:pPr>
        <w:numPr>
          <w:ilvl w:val="0"/>
          <w:numId w:val="6"/>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争议的解决</w:t>
      </w:r>
    </w:p>
    <w:p>
      <w:pPr>
        <w:tabs>
          <w:tab w:val="left" w:pos="824"/>
        </w:tabs>
        <w:snapToGrid w:val="0"/>
        <w:spacing w:line="360" w:lineRule="auto"/>
        <w:ind w:left="424" w:leftChars="202"/>
        <w:rPr>
          <w:rFonts w:ascii="宋体" w:hAnsi="宋体" w:cs="宋体"/>
          <w:szCs w:val="21"/>
        </w:rPr>
      </w:pPr>
      <w:r>
        <w:rPr>
          <w:rFonts w:hint="eastAsia" w:ascii="宋体" w:hAnsi="宋体" w:cs="宋体"/>
          <w:szCs w:val="21"/>
        </w:rPr>
        <w:t>合同执行过程中发生的任何争议，如双方不能通过友好协商解决，甲、乙双方一致同意向甲方所在地人民法院提起诉讼。</w:t>
      </w:r>
    </w:p>
    <w:p>
      <w:pPr>
        <w:numPr>
          <w:ilvl w:val="0"/>
          <w:numId w:val="6"/>
        </w:numPr>
        <w:tabs>
          <w:tab w:val="left" w:pos="425"/>
          <w:tab w:val="left" w:pos="709"/>
          <w:tab w:val="left" w:pos="993"/>
          <w:tab w:val="clear" w:pos="960"/>
        </w:tabs>
        <w:spacing w:line="360" w:lineRule="auto"/>
        <w:ind w:left="0" w:firstLine="0"/>
        <w:outlineLvl w:val="2"/>
        <w:rPr>
          <w:rFonts w:ascii="宋体" w:hAnsi="宋体" w:cs="宋体"/>
          <w:b/>
          <w:szCs w:val="21"/>
        </w:rPr>
      </w:pPr>
      <w:r>
        <w:rPr>
          <w:rFonts w:hint="eastAsia" w:ascii="宋体" w:hAnsi="宋体" w:cs="宋体"/>
          <w:b/>
          <w:szCs w:val="21"/>
        </w:rPr>
        <w:t>不可抗力</w:t>
      </w:r>
    </w:p>
    <w:p>
      <w:pPr>
        <w:tabs>
          <w:tab w:val="left" w:pos="824"/>
        </w:tabs>
        <w:snapToGrid w:val="0"/>
        <w:spacing w:line="360" w:lineRule="auto"/>
        <w:ind w:left="424" w:leftChars="202"/>
        <w:rPr>
          <w:rFonts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6"/>
        </w:numPr>
        <w:tabs>
          <w:tab w:val="left" w:pos="425"/>
          <w:tab w:val="left" w:pos="709"/>
          <w:tab w:val="left" w:pos="993"/>
          <w:tab w:val="clear" w:pos="960"/>
        </w:tabs>
        <w:spacing w:line="360" w:lineRule="auto"/>
        <w:ind w:left="0" w:firstLine="0"/>
        <w:outlineLvl w:val="2"/>
        <w:rPr>
          <w:rFonts w:ascii="宋体" w:hAnsi="宋体" w:cs="宋体"/>
          <w:b/>
          <w:szCs w:val="21"/>
        </w:rPr>
      </w:pPr>
      <w:r>
        <w:rPr>
          <w:rFonts w:hint="eastAsia" w:ascii="宋体" w:hAnsi="宋体" w:cs="宋体"/>
          <w:b/>
          <w:szCs w:val="21"/>
        </w:rPr>
        <w:t>税费</w:t>
      </w:r>
    </w:p>
    <w:p>
      <w:pPr>
        <w:snapToGrid w:val="0"/>
        <w:spacing w:line="360" w:lineRule="auto"/>
        <w:ind w:firstLine="420" w:firstLineChars="200"/>
        <w:rPr>
          <w:rFonts w:ascii="宋体" w:hAnsi="宋体" w:cs="宋体"/>
          <w:szCs w:val="21"/>
        </w:rPr>
      </w:pPr>
      <w:r>
        <w:rPr>
          <w:rFonts w:hint="eastAsia" w:ascii="宋体" w:hAnsi="宋体" w:cs="宋体"/>
          <w:szCs w:val="21"/>
        </w:rPr>
        <w:t>在中国境内、外发生的与本合同执行有关的一切税费均由乙方负担。</w:t>
      </w:r>
    </w:p>
    <w:p>
      <w:pPr>
        <w:numPr>
          <w:ilvl w:val="0"/>
          <w:numId w:val="6"/>
        </w:numPr>
        <w:tabs>
          <w:tab w:val="left" w:pos="425"/>
          <w:tab w:val="left" w:pos="709"/>
          <w:tab w:val="left" w:pos="993"/>
          <w:tab w:val="clear" w:pos="960"/>
        </w:tabs>
        <w:spacing w:line="360" w:lineRule="auto"/>
        <w:ind w:left="0" w:firstLine="0"/>
        <w:outlineLvl w:val="2"/>
        <w:rPr>
          <w:rFonts w:ascii="宋体" w:hAnsi="宋体" w:cs="宋体"/>
          <w:b/>
          <w:szCs w:val="21"/>
        </w:rPr>
      </w:pPr>
      <w:r>
        <w:rPr>
          <w:rFonts w:hint="eastAsia" w:ascii="宋体" w:hAnsi="宋体" w:cs="宋体"/>
          <w:b/>
          <w:szCs w:val="21"/>
        </w:rPr>
        <w:t>其它</w:t>
      </w:r>
    </w:p>
    <w:p>
      <w:pPr>
        <w:numPr>
          <w:ilvl w:val="0"/>
          <w:numId w:val="13"/>
        </w:numPr>
        <w:autoSpaceDE w:val="0"/>
        <w:autoSpaceDN w:val="0"/>
        <w:adjustRightInd w:val="0"/>
        <w:snapToGrid w:val="0"/>
        <w:spacing w:line="360" w:lineRule="auto"/>
        <w:rPr>
          <w:rFonts w:ascii="宋体" w:hAnsi="宋体" w:cs="宋体"/>
          <w:szCs w:val="21"/>
        </w:rPr>
      </w:pPr>
      <w:r>
        <w:rPr>
          <w:rFonts w:hint="eastAsia" w:ascii="宋体" w:hAnsi="宋体" w:cs="宋体"/>
          <w:szCs w:val="21"/>
        </w:rPr>
        <w:t>本合同所有附件、</w:t>
      </w:r>
      <w:r>
        <w:rPr>
          <w:rFonts w:hint="eastAsia" w:ascii="宋体" w:hAnsi="宋体" w:cs="宋体"/>
          <w:szCs w:val="21"/>
          <w:lang w:val="en-US" w:eastAsia="zh-CN"/>
        </w:rPr>
        <w:t>竞价公告</w:t>
      </w:r>
      <w:r>
        <w:rPr>
          <w:rFonts w:hint="eastAsia" w:ascii="宋体" w:hAnsi="宋体" w:cs="宋体"/>
          <w:szCs w:val="21"/>
        </w:rPr>
        <w:t>文件、</w:t>
      </w:r>
      <w:r>
        <w:rPr>
          <w:rFonts w:hint="eastAsia" w:ascii="宋体" w:hAnsi="宋体" w:cs="宋体"/>
          <w:szCs w:val="21"/>
          <w:lang w:val="en-US" w:eastAsia="zh-CN"/>
        </w:rPr>
        <w:t>竞投</w:t>
      </w:r>
      <w:r>
        <w:rPr>
          <w:rFonts w:hint="eastAsia" w:ascii="宋体" w:hAnsi="宋体" w:cs="宋体"/>
          <w:szCs w:val="21"/>
        </w:rPr>
        <w:t>文件、</w:t>
      </w:r>
      <w:r>
        <w:rPr>
          <w:rFonts w:hint="eastAsia" w:ascii="宋体" w:hAnsi="宋体" w:cs="宋体"/>
          <w:szCs w:val="21"/>
          <w:lang w:val="en-US" w:eastAsia="zh-CN"/>
        </w:rPr>
        <w:t>成交确认</w:t>
      </w:r>
      <w:r>
        <w:rPr>
          <w:rFonts w:hint="eastAsia" w:ascii="宋体" w:hAnsi="宋体" w:cs="宋体"/>
          <w:szCs w:val="21"/>
        </w:rPr>
        <w:t>书</w:t>
      </w:r>
      <w:r>
        <w:rPr>
          <w:rFonts w:hint="eastAsia" w:ascii="宋体" w:hAnsi="宋体" w:cs="宋体"/>
          <w:szCs w:val="21"/>
          <w:lang w:val="en-US" w:eastAsia="zh-CN"/>
        </w:rPr>
        <w:t>等</w:t>
      </w:r>
      <w:r>
        <w:rPr>
          <w:rFonts w:hint="eastAsia" w:ascii="宋体" w:hAnsi="宋体" w:cs="宋体"/>
          <w:szCs w:val="21"/>
        </w:rPr>
        <w:t>均为合同的有效组成部分，与本合同具有同等法律效力。</w:t>
      </w:r>
    </w:p>
    <w:p>
      <w:pPr>
        <w:numPr>
          <w:ilvl w:val="0"/>
          <w:numId w:val="13"/>
        </w:numPr>
        <w:autoSpaceDE w:val="0"/>
        <w:autoSpaceDN w:val="0"/>
        <w:adjustRightInd w:val="0"/>
        <w:snapToGrid w:val="0"/>
        <w:spacing w:line="360" w:lineRule="auto"/>
        <w:rPr>
          <w:rFonts w:ascii="宋体" w:hAnsi="宋体" w:cs="宋体"/>
          <w:szCs w:val="21"/>
        </w:rPr>
      </w:pPr>
      <w:r>
        <w:rPr>
          <w:rFonts w:hint="eastAsia" w:ascii="宋体" w:hAnsi="宋体" w:cs="宋体"/>
          <w:szCs w:val="21"/>
        </w:rPr>
        <w:t>在执行本合同的过程中，所有经双方签署确认的文件（包括会议纪要、补充协议、往来信函）即成为本合同的有效组成部分。</w:t>
      </w:r>
    </w:p>
    <w:p>
      <w:pPr>
        <w:numPr>
          <w:ilvl w:val="0"/>
          <w:numId w:val="13"/>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如一方地址、电话、传真号码有变更，应在变更当日内书面通知对方，否则，应承担相应责任。 </w:t>
      </w:r>
    </w:p>
    <w:p>
      <w:pPr>
        <w:numPr>
          <w:ilvl w:val="0"/>
          <w:numId w:val="13"/>
        </w:numPr>
        <w:autoSpaceDE w:val="0"/>
        <w:autoSpaceDN w:val="0"/>
        <w:adjustRightInd w:val="0"/>
        <w:snapToGrid w:val="0"/>
        <w:spacing w:line="360" w:lineRule="auto"/>
        <w:rPr>
          <w:rFonts w:ascii="宋体" w:hAnsi="宋体" w:cs="宋体"/>
          <w:szCs w:val="21"/>
        </w:rPr>
      </w:pPr>
      <w:r>
        <w:rPr>
          <w:rFonts w:hint="eastAsia" w:ascii="宋体" w:hAnsi="宋体" w:cs="宋体"/>
          <w:szCs w:val="21"/>
        </w:rPr>
        <w:t>除甲方事先书面同意外，乙方不得部分或全部转让其应履行的合同项下的义务。</w:t>
      </w:r>
    </w:p>
    <w:p>
      <w:pPr>
        <w:numPr>
          <w:ilvl w:val="0"/>
          <w:numId w:val="6"/>
        </w:numPr>
        <w:tabs>
          <w:tab w:val="left" w:pos="425"/>
          <w:tab w:val="left" w:pos="709"/>
          <w:tab w:val="left" w:pos="993"/>
          <w:tab w:val="clear" w:pos="960"/>
        </w:tabs>
        <w:spacing w:line="360" w:lineRule="auto"/>
        <w:ind w:left="0" w:firstLine="0"/>
        <w:outlineLvl w:val="2"/>
        <w:rPr>
          <w:rFonts w:ascii="宋体" w:hAnsi="宋体" w:cs="宋体"/>
          <w:b/>
          <w:szCs w:val="21"/>
        </w:rPr>
      </w:pPr>
      <w:r>
        <w:rPr>
          <w:rFonts w:hint="eastAsia" w:ascii="宋体" w:hAnsi="宋体" w:cs="宋体"/>
          <w:b/>
          <w:szCs w:val="21"/>
        </w:rPr>
        <w:t>合同生效</w:t>
      </w:r>
    </w:p>
    <w:p>
      <w:pPr>
        <w:numPr>
          <w:ilvl w:val="0"/>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合同自甲乙双方法人代表或其授权代表签字盖章之日起生效。</w:t>
      </w:r>
    </w:p>
    <w:p>
      <w:pPr>
        <w:numPr>
          <w:ilvl w:val="0"/>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合同壹式  份，其中甲乙双方各执  份，采购代理机构执壹份，监管部门  份。</w:t>
      </w: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adjustRightInd w:val="0"/>
        <w:spacing w:line="440" w:lineRule="exact"/>
        <w:ind w:right="1"/>
        <w:rPr>
          <w:rFonts w:ascii="宋体" w:hAnsi="宋体"/>
          <w:color w:val="000000"/>
          <w:sz w:val="52"/>
          <w:szCs w:val="72"/>
        </w:rPr>
      </w:pPr>
      <w:r>
        <w:rPr>
          <w:rFonts w:hint="eastAsia" w:ascii="宋体" w:hAnsi="宋体" w:cs="宋体"/>
          <w:szCs w:val="21"/>
        </w:rPr>
        <w:t>开 户 行：</w:t>
      </w:r>
    </w:p>
    <w:p>
      <w:pPr>
        <w:rPr>
          <w:rFonts w:ascii="宋体" w:hAnsi="宋体"/>
          <w:color w:val="000000"/>
          <w:sz w:val="52"/>
          <w:szCs w:val="72"/>
        </w:rPr>
      </w:pPr>
    </w:p>
    <w:bookmarkEnd w:id="78"/>
    <w:p>
      <w:pPr>
        <w:pStyle w:val="2"/>
        <w:spacing w:line="360" w:lineRule="auto"/>
        <w:jc w:val="center"/>
        <w:rPr>
          <w:rFonts w:ascii="宋体" w:hAnsi="宋体"/>
          <w:color w:val="000000"/>
          <w:sz w:val="52"/>
          <w:szCs w:val="72"/>
        </w:rPr>
      </w:pPr>
      <w:bookmarkStart w:id="79" w:name="_Toc30767"/>
      <w:r>
        <w:rPr>
          <w:rFonts w:hint="eastAsia" w:ascii="宋体" w:hAnsi="宋体"/>
          <w:color w:val="000000"/>
          <w:sz w:val="52"/>
          <w:szCs w:val="72"/>
        </w:rPr>
        <w:t>第四章 证明文件格式</w:t>
      </w:r>
      <w:bookmarkEnd w:id="79"/>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pStyle w:val="67"/>
        <w:tabs>
          <w:tab w:val="left" w:pos="180"/>
        </w:tabs>
        <w:spacing w:line="360" w:lineRule="exact"/>
        <w:ind w:firstLine="420" w:firstLineChars="200"/>
        <w:rPr>
          <w:color w:val="000000"/>
        </w:rPr>
      </w:pPr>
    </w:p>
    <w:p>
      <w:pPr>
        <w:pStyle w:val="67"/>
        <w:tabs>
          <w:tab w:val="left" w:pos="180"/>
        </w:tabs>
        <w:spacing w:line="360" w:lineRule="exact"/>
        <w:ind w:firstLine="420" w:firstLineChars="200"/>
        <w:rPr>
          <w:color w:val="000000"/>
        </w:rPr>
      </w:pPr>
    </w:p>
    <w:p>
      <w:pPr>
        <w:pStyle w:val="67"/>
        <w:tabs>
          <w:tab w:val="left" w:pos="180"/>
        </w:tabs>
        <w:spacing w:line="360" w:lineRule="exact"/>
        <w:ind w:firstLine="420" w:firstLineChars="200"/>
        <w:rPr>
          <w:color w:val="000000"/>
        </w:rPr>
      </w:pPr>
    </w:p>
    <w:p>
      <w:pPr>
        <w:pStyle w:val="67"/>
        <w:tabs>
          <w:tab w:val="left" w:pos="180"/>
        </w:tabs>
        <w:spacing w:line="360" w:lineRule="exact"/>
        <w:ind w:firstLine="420" w:firstLineChars="200"/>
        <w:rPr>
          <w:color w:val="000000"/>
        </w:rPr>
      </w:pPr>
    </w:p>
    <w:p>
      <w:pPr>
        <w:pStyle w:val="67"/>
        <w:tabs>
          <w:tab w:val="left" w:pos="180"/>
        </w:tabs>
        <w:spacing w:line="360" w:lineRule="exact"/>
        <w:ind w:firstLine="420" w:firstLineChars="200"/>
        <w:rPr>
          <w:color w:val="000000"/>
        </w:rPr>
      </w:pPr>
    </w:p>
    <w:p>
      <w:pPr>
        <w:pStyle w:val="67"/>
        <w:tabs>
          <w:tab w:val="left" w:pos="180"/>
        </w:tabs>
        <w:spacing w:line="360" w:lineRule="exact"/>
        <w:ind w:firstLine="422" w:firstLineChars="200"/>
        <w:rPr>
          <w:rFonts w:ascii="宋体" w:hAnsi="宋体" w:cs="宋体"/>
          <w:b/>
          <w:color w:val="000000"/>
        </w:rPr>
      </w:pPr>
    </w:p>
    <w:p>
      <w:pPr>
        <w:rPr>
          <w:color w:val="000000"/>
        </w:rPr>
      </w:pPr>
      <w:bookmarkStart w:id="80" w:name="_Toc15891"/>
      <w:r>
        <w:rPr>
          <w:rFonts w:hint="eastAsia"/>
          <w:color w:val="000000"/>
        </w:rPr>
        <w:br w:type="page"/>
      </w:r>
    </w:p>
    <w:p>
      <w:pPr>
        <w:pStyle w:val="104"/>
        <w:jc w:val="center"/>
        <w:rPr>
          <w:color w:val="000000"/>
        </w:rPr>
      </w:pPr>
      <w:r>
        <w:rPr>
          <w:rFonts w:hint="eastAsia"/>
          <w:color w:val="000000"/>
        </w:rPr>
        <w:t>封面</w:t>
      </w:r>
      <w:bookmarkEnd w:id="80"/>
    </w:p>
    <w:p>
      <w:pPr>
        <w:spacing w:line="360" w:lineRule="auto"/>
        <w:jc w:val="center"/>
        <w:rPr>
          <w:rFonts w:ascii="宋体" w:hAnsi="宋体"/>
          <w:color w:val="000000"/>
          <w:sz w:val="52"/>
          <w:szCs w:val="52"/>
        </w:rPr>
      </w:pPr>
      <w:r>
        <w:rPr>
          <w:rFonts w:hint="eastAsia" w:ascii="宋体" w:hAnsi="宋体"/>
          <w:color w:val="000000"/>
          <w:sz w:val="52"/>
          <w:szCs w:val="52"/>
          <w:lang w:eastAsia="zh-CN"/>
        </w:rPr>
        <w:t>顺德检测院烟气预处理机柜及上位机采购项目</w:t>
      </w:r>
      <w:r>
        <w:rPr>
          <w:rFonts w:hint="eastAsia" w:ascii="宋体" w:hAnsi="宋体"/>
          <w:color w:val="000000"/>
          <w:sz w:val="52"/>
          <w:szCs w:val="52"/>
        </w:rPr>
        <w:t>证明文件</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sz w:val="32"/>
          <w:szCs w:val="32"/>
          <w:u w:val="single"/>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pPr>
        <w:spacing w:line="360" w:lineRule="auto"/>
        <w:rPr>
          <w:rFonts w:ascii="宋体" w:hAnsi="宋体"/>
          <w:color w:val="000000"/>
          <w:sz w:val="30"/>
          <w:szCs w:val="30"/>
          <w:u w:val="single"/>
        </w:rPr>
      </w:pPr>
      <w:r>
        <w:rPr>
          <w:rFonts w:hint="eastAsia" w:ascii="宋体" w:hAnsi="宋体"/>
          <w:color w:val="000000"/>
          <w:sz w:val="30"/>
          <w:szCs w:val="30"/>
        </w:rPr>
        <w:t>竞投人名称：</w:t>
      </w:r>
      <w:r>
        <w:rPr>
          <w:rFonts w:hint="eastAsia" w:ascii="宋体" w:hAnsi="宋体"/>
          <w:color w:val="000000"/>
          <w:sz w:val="30"/>
          <w:szCs w:val="30"/>
          <w:u w:val="single"/>
        </w:rPr>
        <w:t xml:space="preserve">                        </w:t>
      </w:r>
    </w:p>
    <w:p>
      <w:pPr>
        <w:spacing w:line="360" w:lineRule="auto"/>
        <w:rPr>
          <w:rFonts w:ascii="宋体" w:hAnsi="宋体"/>
          <w:color w:val="000000"/>
          <w:sz w:val="30"/>
          <w:szCs w:val="30"/>
          <w:u w:val="single"/>
        </w:rPr>
      </w:pPr>
      <w:r>
        <w:rPr>
          <w:rFonts w:hint="eastAsia" w:ascii="宋体" w:hAnsi="宋体"/>
          <w:color w:val="000000"/>
          <w:sz w:val="30"/>
          <w:szCs w:val="30"/>
        </w:rPr>
        <w:t>竞投人地址：</w:t>
      </w:r>
      <w:r>
        <w:rPr>
          <w:rFonts w:hint="eastAsia" w:ascii="宋体" w:hAnsi="宋体"/>
          <w:color w:val="000000"/>
          <w:sz w:val="30"/>
          <w:szCs w:val="30"/>
          <w:u w:val="single"/>
        </w:rPr>
        <w:t xml:space="preserve">                        </w:t>
      </w:r>
    </w:p>
    <w:p>
      <w:pPr>
        <w:spacing w:line="360" w:lineRule="auto"/>
        <w:rPr>
          <w:rFonts w:ascii="宋体" w:hAnsi="宋体"/>
          <w:color w:val="000000"/>
          <w:sz w:val="30"/>
          <w:szCs w:val="30"/>
          <w:u w:val="single"/>
        </w:rPr>
      </w:pPr>
      <w:r>
        <w:rPr>
          <w:rFonts w:hint="eastAsia" w:ascii="宋体" w:hAnsi="宋体"/>
          <w:color w:val="000000"/>
          <w:sz w:val="30"/>
          <w:szCs w:val="30"/>
        </w:rPr>
        <w:t>竞投人联系电话：</w:t>
      </w:r>
      <w:r>
        <w:rPr>
          <w:rFonts w:hint="eastAsia" w:ascii="宋体" w:hAnsi="宋体"/>
          <w:color w:val="000000"/>
          <w:sz w:val="30"/>
          <w:szCs w:val="30"/>
          <w:u w:val="single"/>
        </w:rPr>
        <w:t xml:space="preserve">                    </w:t>
      </w:r>
    </w:p>
    <w:p>
      <w:pPr>
        <w:spacing w:line="360" w:lineRule="auto"/>
        <w:rPr>
          <w:rFonts w:ascii="宋体" w:hAnsi="宋体"/>
          <w:color w:val="000000"/>
          <w:sz w:val="30"/>
          <w:szCs w:val="30"/>
          <w:u w:val="single"/>
        </w:rPr>
      </w:pPr>
      <w:r>
        <w:rPr>
          <w:rFonts w:hint="eastAsia" w:ascii="宋体" w:hAnsi="宋体"/>
          <w:color w:val="000000"/>
          <w:sz w:val="30"/>
          <w:szCs w:val="30"/>
        </w:rPr>
        <w:t>竞投人传真：</w:t>
      </w:r>
      <w:r>
        <w:rPr>
          <w:rFonts w:hint="eastAsia" w:ascii="宋体" w:hAnsi="宋体"/>
          <w:color w:val="000000"/>
          <w:sz w:val="30"/>
          <w:szCs w:val="30"/>
          <w:u w:val="single"/>
        </w:rPr>
        <w:t xml:space="preserve">                        </w:t>
      </w:r>
    </w:p>
    <w:p>
      <w:pPr>
        <w:spacing w:line="360" w:lineRule="auto"/>
        <w:rPr>
          <w:rFonts w:ascii="宋体" w:hAnsi="宋体"/>
          <w:color w:val="000000"/>
          <w:sz w:val="30"/>
          <w:szCs w:val="30"/>
          <w:u w:val="single"/>
        </w:rPr>
      </w:pPr>
      <w:r>
        <w:rPr>
          <w:rFonts w:hint="eastAsia" w:ascii="宋体" w:hAnsi="宋体"/>
          <w:color w:val="000000"/>
          <w:sz w:val="30"/>
          <w:szCs w:val="30"/>
        </w:rPr>
        <w:t>竞投人联系人：</w:t>
      </w:r>
      <w:r>
        <w:rPr>
          <w:rFonts w:hint="eastAsia" w:ascii="宋体" w:hAnsi="宋体"/>
          <w:color w:val="000000"/>
          <w:sz w:val="30"/>
          <w:szCs w:val="30"/>
          <w:u w:val="single"/>
        </w:rPr>
        <w:t xml:space="preserve">                      </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jc w:val="center"/>
        <w:rPr>
          <w:rFonts w:ascii="宋体" w:hAnsi="宋体"/>
          <w:color w:val="000000"/>
          <w:sz w:val="24"/>
          <w:highlight w:val="none"/>
        </w:rPr>
      </w:pPr>
      <w:r>
        <w:rPr>
          <w:rFonts w:hint="eastAsia"/>
          <w:color w:val="000000"/>
          <w:sz w:val="24"/>
          <w:highlight w:val="none"/>
        </w:rPr>
        <w:t>二0二</w:t>
      </w:r>
      <w:r>
        <w:rPr>
          <w:rFonts w:hint="eastAsia"/>
          <w:color w:val="000000"/>
          <w:sz w:val="24"/>
          <w:highlight w:val="none"/>
          <w:lang w:val="en-US" w:eastAsia="zh-CN"/>
        </w:rPr>
        <w:t>三</w:t>
      </w:r>
      <w:r>
        <w:rPr>
          <w:rFonts w:hint="eastAsia"/>
          <w:color w:val="000000"/>
          <w:sz w:val="24"/>
          <w:highlight w:val="none"/>
        </w:rPr>
        <w:t>年</w:t>
      </w:r>
      <w:r>
        <w:rPr>
          <w:rFonts w:hint="eastAsia"/>
          <w:color w:val="000000"/>
          <w:sz w:val="24"/>
          <w:highlight w:val="none"/>
          <w:lang w:val="en-US" w:eastAsia="zh-CN"/>
        </w:rPr>
        <w:t>4</w:t>
      </w:r>
      <w:r>
        <w:rPr>
          <w:rFonts w:hint="eastAsia"/>
          <w:color w:val="000000"/>
          <w:sz w:val="24"/>
          <w:highlight w:val="none"/>
        </w:rPr>
        <w:t>月</w:t>
      </w:r>
      <w:r>
        <w:rPr>
          <w:rFonts w:hint="eastAsia"/>
          <w:color w:val="000000"/>
          <w:sz w:val="24"/>
          <w:highlight w:val="none"/>
          <w:lang w:val="en-US" w:eastAsia="zh-CN"/>
        </w:rPr>
        <w:t>11</w:t>
      </w:r>
      <w:r>
        <w:rPr>
          <w:rFonts w:hint="eastAsia"/>
          <w:color w:val="000000"/>
          <w:sz w:val="24"/>
          <w:highlight w:val="none"/>
        </w:rPr>
        <w:t>日</w:t>
      </w:r>
    </w:p>
    <w:p>
      <w:pPr>
        <w:pStyle w:val="104"/>
        <w:jc w:val="center"/>
        <w:rPr>
          <w:rFonts w:ascii="宋体" w:hAnsi="宋体"/>
          <w:color w:val="000000"/>
        </w:rPr>
      </w:pPr>
      <w:bookmarkStart w:id="81" w:name="_Toc1920"/>
      <w:r>
        <w:rPr>
          <w:rFonts w:hint="eastAsia" w:ascii="宋体" w:hAnsi="宋体"/>
          <w:color w:val="000000"/>
        </w:rPr>
        <w:br w:type="page"/>
      </w:r>
      <w:bookmarkEnd w:id="81"/>
      <w:bookmarkStart w:id="82" w:name="_Toc5391"/>
      <w:r>
        <w:rPr>
          <w:rFonts w:hint="eastAsia" w:ascii="宋体" w:hAnsi="宋体"/>
          <w:color w:val="000000"/>
        </w:rPr>
        <w:t>竞投人证明书</w:t>
      </w:r>
      <w:bookmarkEnd w:id="82"/>
    </w:p>
    <w:p>
      <w:pPr>
        <w:jc w:val="center"/>
        <w:rPr>
          <w:color w:val="000000"/>
          <w:sz w:val="24"/>
        </w:rPr>
      </w:pPr>
      <w:r>
        <w:rPr>
          <w:rFonts w:hint="eastAsia"/>
          <w:color w:val="000000"/>
          <w:sz w:val="24"/>
        </w:rPr>
        <w:t>（</w:t>
      </w:r>
      <w:r>
        <w:rPr>
          <w:rFonts w:hint="eastAsia" w:ascii="宋体" w:hAnsi="宋体"/>
          <w:color w:val="000000"/>
          <w:sz w:val="24"/>
        </w:rPr>
        <w:t>竞投人为自然人须填写本证明书）</w:t>
      </w:r>
    </w:p>
    <w:p>
      <w:pPr>
        <w:pStyle w:val="6"/>
        <w:ind w:firstLine="0"/>
        <w:jc w:val="center"/>
        <w:rPr>
          <w:rFonts w:ascii="宋体" w:hAnsi="宋体"/>
          <w:b/>
          <w:bCs/>
          <w:color w:val="000000"/>
          <w:sz w:val="24"/>
          <w:szCs w:val="24"/>
        </w:rPr>
      </w:pPr>
    </w:p>
    <w:p>
      <w:pPr>
        <w:pStyle w:val="6"/>
        <w:ind w:firstLine="0"/>
        <w:jc w:val="center"/>
        <w:rPr>
          <w:rFonts w:ascii="宋体" w:hAnsi="宋体"/>
          <w:b/>
          <w:color w:val="000000"/>
          <w:sz w:val="24"/>
          <w:szCs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ind w:firstLine="600" w:firstLineChars="250"/>
        <w:rPr>
          <w:rFonts w:ascii="宋体" w:hAnsi="宋体"/>
          <w:color w:val="000000"/>
          <w:sz w:val="24"/>
        </w:rPr>
      </w:pPr>
    </w:p>
    <w:p>
      <w:pPr>
        <w:snapToGrid w:val="0"/>
        <w:spacing w:line="360" w:lineRule="auto"/>
        <w:rPr>
          <w:rFonts w:ascii="宋体" w:hAnsi="宋体"/>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身份证号码：</w:t>
      </w:r>
      <w:r>
        <w:rPr>
          <w:rFonts w:hint="eastAsia" w:ascii="宋体" w:hAnsi="宋体"/>
          <w:color w:val="000000"/>
          <w:sz w:val="24"/>
          <w:u w:val="single"/>
        </w:rPr>
        <w:t xml:space="preserve">                                </w:t>
      </w:r>
      <w:r>
        <w:rPr>
          <w:rFonts w:hint="eastAsia" w:ascii="宋体" w:hAnsi="宋体"/>
          <w:color w:val="000000"/>
          <w:sz w:val="24"/>
        </w:rPr>
        <w:t>为</w:t>
      </w:r>
      <w:r>
        <w:rPr>
          <w:rFonts w:hint="eastAsia" w:ascii="宋体" w:hAnsi="宋体"/>
          <w:color w:val="000000"/>
          <w:sz w:val="24"/>
          <w:lang w:val="en-US" w:eastAsia="zh-CN"/>
        </w:rPr>
        <w:t>顺德检测院</w:t>
      </w:r>
      <w:r>
        <w:rPr>
          <w:rFonts w:hint="eastAsia" w:ascii="宋体" w:hAnsi="宋体"/>
          <w:color w:val="000000"/>
          <w:sz w:val="24"/>
          <w:lang w:eastAsia="zh-CN"/>
        </w:rPr>
        <w:t>烟气预处理机柜及上位机采购项目</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359" w:firstLine="357"/>
        <w:rPr>
          <w:rFonts w:ascii="宋体" w:hAnsi="宋体"/>
          <w:color w:val="000000"/>
          <w:sz w:val="24"/>
        </w:rPr>
      </w:pPr>
    </w:p>
    <w:p>
      <w:pPr>
        <w:spacing w:line="360" w:lineRule="auto"/>
        <w:ind w:left="171" w:firstLine="559"/>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pStyle w:val="6"/>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rPr>
          <w:rFonts w:ascii="宋体" w:hAnsi="宋体"/>
          <w:color w:val="000000"/>
          <w:sz w:val="24"/>
        </w:rPr>
      </w:pPr>
    </w:p>
    <w:p>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pPr>
        <w:ind w:firstLine="480" w:firstLineChars="200"/>
        <w:rPr>
          <w:rFonts w:ascii="宋体" w:hAnsi="宋体"/>
          <w:color w:val="000000"/>
          <w:sz w:val="24"/>
        </w:rPr>
      </w:pPr>
      <w:r>
        <w:rPr>
          <w:rFonts w:hint="eastAsia" w:ascii="宋体" w:hAnsi="宋体"/>
          <w:color w:val="000000"/>
          <w:sz w:val="24"/>
        </w:rPr>
        <w:t>2、参加竞价会议必须携带二代身份证原件。</w:t>
      </w:r>
    </w:p>
    <w:p>
      <w:pPr>
        <w:rPr>
          <w:rFonts w:ascii="宋体" w:hAnsi="宋体"/>
          <w:b/>
          <w:color w:val="000000"/>
        </w:rPr>
      </w:pPr>
    </w:p>
    <w:p>
      <w:pPr>
        <w:rPr>
          <w:rFonts w:ascii="宋体" w:hAnsi="宋体"/>
          <w:color w:val="000000"/>
        </w:rPr>
      </w:pPr>
    </w:p>
    <w:p>
      <w:pPr>
        <w:rPr>
          <w:rFonts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ascii="宋体" w:hAnsi="宋体"/>
          <w:color w:val="000000"/>
        </w:rPr>
      </w:pPr>
    </w:p>
    <w:p>
      <w:pPr>
        <w:rPr>
          <w:rFonts w:ascii="宋体" w:hAnsi="宋体"/>
          <w:color w:val="000000"/>
        </w:rPr>
      </w:pPr>
    </w:p>
    <w:p>
      <w:pPr>
        <w:rPr>
          <w:rFonts w:ascii="宋体" w:hAnsi="宋体"/>
          <w:color w:val="000000"/>
        </w:rPr>
      </w:pPr>
    </w:p>
    <w:p>
      <w:pPr>
        <w:pStyle w:val="104"/>
        <w:jc w:val="center"/>
        <w:rPr>
          <w:rFonts w:ascii="宋体" w:hAnsi="宋体"/>
          <w:color w:val="000000"/>
        </w:rPr>
      </w:pPr>
      <w:r>
        <w:rPr>
          <w:rFonts w:ascii="宋体" w:hAnsi="宋体"/>
          <w:color w:val="000000"/>
        </w:rPr>
        <w:br w:type="page"/>
      </w:r>
      <w:bookmarkStart w:id="83" w:name="_Toc28620"/>
      <w:r>
        <w:rPr>
          <w:rFonts w:hint="eastAsia" w:ascii="宋体" w:hAnsi="宋体"/>
          <w:color w:val="000000"/>
        </w:rPr>
        <w:t>法定代表人（其他组织经营者）证明书</w:t>
      </w:r>
      <w:bookmarkEnd w:id="83"/>
    </w:p>
    <w:p>
      <w:pPr>
        <w:jc w:val="center"/>
        <w:rPr>
          <w:color w:val="000000"/>
          <w:sz w:val="24"/>
        </w:rPr>
      </w:pPr>
      <w:r>
        <w:rPr>
          <w:rFonts w:hint="eastAsia"/>
          <w:color w:val="000000"/>
          <w:sz w:val="24"/>
        </w:rPr>
        <w:t>（</w:t>
      </w:r>
      <w:r>
        <w:rPr>
          <w:rFonts w:hint="eastAsia" w:ascii="宋体" w:hAnsi="宋体"/>
          <w:color w:val="000000"/>
          <w:sz w:val="24"/>
        </w:rPr>
        <w:t>竞投人为非自然人须填写本证明书）</w:t>
      </w:r>
    </w:p>
    <w:p>
      <w:pPr>
        <w:pStyle w:val="6"/>
        <w:ind w:firstLine="0"/>
        <w:jc w:val="center"/>
        <w:rPr>
          <w:rFonts w:ascii="宋体" w:hAnsi="宋体"/>
          <w:b/>
          <w:bCs/>
          <w:color w:val="000000"/>
          <w:sz w:val="24"/>
          <w:szCs w:val="24"/>
        </w:rPr>
      </w:pPr>
    </w:p>
    <w:p>
      <w:pPr>
        <w:pStyle w:val="6"/>
        <w:ind w:firstLine="0"/>
        <w:jc w:val="center"/>
        <w:rPr>
          <w:rFonts w:ascii="宋体" w:hAnsi="宋体"/>
          <w:b/>
          <w:color w:val="000000"/>
          <w:sz w:val="24"/>
          <w:szCs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rPr>
          <w:rFonts w:ascii="宋体" w:hAnsi="宋体"/>
          <w:color w:val="000000"/>
          <w:sz w:val="24"/>
        </w:rPr>
      </w:pPr>
    </w:p>
    <w:p>
      <w:pPr>
        <w:spacing w:line="360" w:lineRule="auto"/>
        <w:ind w:firstLine="600" w:firstLineChars="25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w:t>
      </w:r>
      <w:r>
        <w:rPr>
          <w:rFonts w:hint="eastAsia" w:ascii="宋体" w:hAnsi="宋体"/>
          <w:color w:val="000000"/>
          <w:sz w:val="24"/>
          <w:lang w:val="en-US" w:eastAsia="zh-CN"/>
        </w:rPr>
        <w:t>顺德检测院</w:t>
      </w:r>
      <w:r>
        <w:rPr>
          <w:rFonts w:hint="eastAsia" w:ascii="宋体" w:hAnsi="宋体"/>
          <w:color w:val="000000"/>
          <w:sz w:val="24"/>
          <w:lang w:eastAsia="zh-CN"/>
        </w:rPr>
        <w:t>烟气预处理机柜及上位机采购项目</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171" w:firstLine="559"/>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ind w:firstLine="540"/>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pPr>
        <w:rPr>
          <w:rFonts w:ascii="宋体" w:hAnsi="宋体"/>
          <w:color w:val="000000"/>
          <w:sz w:val="24"/>
        </w:rPr>
      </w:pPr>
      <w:r>
        <w:rPr>
          <w:rFonts w:hint="eastAsia" w:ascii="宋体" w:hAnsi="宋体"/>
          <w:color w:val="000000"/>
          <w:sz w:val="24"/>
        </w:rPr>
        <w:t xml:space="preserve">    2、参加竞价会议必须携带二代身份证原件。</w:t>
      </w:r>
    </w:p>
    <w:p>
      <w:pPr>
        <w:rPr>
          <w:rFonts w:ascii="宋体" w:hAnsi="宋体"/>
          <w:b/>
          <w:color w:val="000000"/>
          <w:sz w:val="24"/>
        </w:rPr>
      </w:pPr>
      <w:r>
        <w:rPr>
          <w:rFonts w:hint="eastAsia" w:ascii="宋体" w:hAnsi="宋体"/>
          <w:b/>
          <w:color w:val="000000"/>
          <w:sz w:val="24"/>
        </w:rPr>
        <w:t xml:space="preserve">    </w:t>
      </w:r>
    </w:p>
    <w:p>
      <w:pPr>
        <w:rPr>
          <w:rFonts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ascii="宋体" w:hAnsi="宋体"/>
          <w:color w:val="000000"/>
        </w:rPr>
      </w:pPr>
    </w:p>
    <w:p>
      <w:pPr>
        <w:rPr>
          <w:rFonts w:ascii="宋体" w:hAnsi="宋体"/>
          <w:color w:val="000000"/>
        </w:rPr>
      </w:pPr>
    </w:p>
    <w:p>
      <w:pPr>
        <w:pStyle w:val="104"/>
        <w:jc w:val="center"/>
        <w:rPr>
          <w:rFonts w:ascii="宋体" w:hAnsi="宋体"/>
          <w:color w:val="000000"/>
        </w:rPr>
      </w:pPr>
      <w:r>
        <w:rPr>
          <w:rFonts w:ascii="宋体" w:hAnsi="宋体"/>
          <w:color w:val="000000"/>
        </w:rPr>
        <w:br w:type="page"/>
      </w:r>
      <w:bookmarkStart w:id="84" w:name="_Toc29558"/>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84"/>
    </w:p>
    <w:p>
      <w:pPr>
        <w:jc w:val="center"/>
        <w:rPr>
          <w:color w:val="000000"/>
          <w:sz w:val="24"/>
        </w:rPr>
      </w:pPr>
      <w:r>
        <w:rPr>
          <w:rFonts w:hint="eastAsia"/>
          <w:color w:val="000000"/>
          <w:sz w:val="24"/>
        </w:rPr>
        <w:t>（</w:t>
      </w:r>
      <w:r>
        <w:rPr>
          <w:rFonts w:hint="eastAsia" w:ascii="宋体" w:hAnsi="宋体"/>
          <w:color w:val="000000"/>
          <w:sz w:val="24"/>
        </w:rPr>
        <w:t>竞投人为非自然人按需填写本授权书）</w:t>
      </w:r>
    </w:p>
    <w:p>
      <w:pPr>
        <w:spacing w:line="360" w:lineRule="auto"/>
        <w:ind w:firstLine="567"/>
        <w:jc w:val="center"/>
        <w:rPr>
          <w:rFonts w:ascii="宋体" w:hAnsi="宋体"/>
          <w:color w:val="000000"/>
          <w:sz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rPr>
          <w:rFonts w:ascii="宋体" w:hAnsi="宋体"/>
          <w:color w:val="000000"/>
          <w:sz w:val="24"/>
        </w:rPr>
      </w:pPr>
    </w:p>
    <w:p>
      <w:pPr>
        <w:spacing w:line="420" w:lineRule="exact"/>
        <w:rPr>
          <w:rFonts w:ascii="宋体" w:hAnsi="宋体"/>
          <w:color w:val="000000"/>
          <w:sz w:val="24"/>
          <w:u w:val="single"/>
        </w:rPr>
      </w:pPr>
      <w:r>
        <w:rPr>
          <w:rFonts w:hint="eastAsia" w:ascii="宋体" w:hAnsi="宋体"/>
          <w:color w:val="000000"/>
          <w:sz w:val="24"/>
        </w:rPr>
        <w:t xml:space="preserve">    本授权书声明：我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w:t>
      </w:r>
      <w:r>
        <w:rPr>
          <w:rFonts w:hint="eastAsia" w:ascii="宋体" w:hAnsi="宋体"/>
          <w:color w:val="000000"/>
          <w:sz w:val="24"/>
          <w:lang w:val="en-US" w:eastAsia="zh-CN"/>
        </w:rPr>
        <w:t>顺德检测院</w:t>
      </w:r>
      <w:r>
        <w:rPr>
          <w:rFonts w:hint="eastAsia" w:ascii="宋体" w:hAnsi="宋体"/>
          <w:color w:val="000000"/>
          <w:sz w:val="24"/>
          <w:lang w:eastAsia="zh-CN"/>
        </w:rPr>
        <w:t xml:space="preserve">烟气预处理机柜及上位机采购项目 </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）的竞投活动。代理人在竞投过程中所签署的一切文件和处理与之有关的一切事务，我均予以承认。</w:t>
      </w:r>
    </w:p>
    <w:p>
      <w:pPr>
        <w:spacing w:line="420" w:lineRule="exact"/>
        <w:ind w:firstLine="420"/>
        <w:rPr>
          <w:rFonts w:ascii="宋体" w:hAnsi="宋体"/>
          <w:color w:val="000000"/>
          <w:sz w:val="24"/>
        </w:rPr>
      </w:pPr>
      <w:r>
        <w:rPr>
          <w:rFonts w:hint="eastAsia" w:ascii="宋体" w:hAnsi="宋体"/>
          <w:color w:val="000000"/>
          <w:sz w:val="24"/>
        </w:rPr>
        <w:t>代理人无转委托权。</w:t>
      </w:r>
    </w:p>
    <w:p>
      <w:pPr>
        <w:spacing w:line="420" w:lineRule="exact"/>
        <w:ind w:firstLine="420"/>
        <w:rPr>
          <w:rFonts w:ascii="宋体" w:hAnsi="宋体"/>
          <w:color w:val="000000"/>
          <w:sz w:val="24"/>
        </w:rPr>
      </w:pPr>
      <w:r>
        <w:rPr>
          <w:rFonts w:hint="eastAsia" w:ascii="宋体" w:hAnsi="宋体"/>
          <w:color w:val="000000"/>
          <w:sz w:val="24"/>
        </w:rPr>
        <w:t>特此委托。</w:t>
      </w:r>
    </w:p>
    <w:p>
      <w:pPr>
        <w:spacing w:line="420" w:lineRule="exact"/>
        <w:ind w:firstLine="42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spacing w:line="420" w:lineRule="exact"/>
        <w:ind w:firstLine="540"/>
        <w:rPr>
          <w:rFonts w:ascii="宋体" w:hAnsi="宋体"/>
          <w:color w:val="000000"/>
          <w:sz w:val="24"/>
        </w:rPr>
      </w:pPr>
    </w:p>
    <w:p>
      <w:pPr>
        <w:spacing w:line="420" w:lineRule="exact"/>
        <w:rPr>
          <w:rFonts w:ascii="宋体" w:hAnsi="宋体"/>
          <w:color w:val="000000"/>
          <w:sz w:val="24"/>
        </w:rPr>
      </w:pPr>
      <w:r>
        <w:rPr>
          <w:rFonts w:hint="eastAsia" w:ascii="宋体" w:hAnsi="宋体"/>
          <w:color w:val="000000"/>
          <w:sz w:val="24"/>
        </w:rPr>
        <w:t>注：</w:t>
      </w:r>
    </w:p>
    <w:p>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1、竞投人“法定代表人”或“负责人”参加报价和签署资格文件的不须提供该委托书。</w:t>
      </w:r>
    </w:p>
    <w:p>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pPr>
        <w:spacing w:line="420" w:lineRule="exact"/>
        <w:rPr>
          <w:rFonts w:ascii="宋体" w:hAnsi="宋体"/>
          <w:bCs/>
          <w:color w:val="000000"/>
          <w:sz w:val="24"/>
        </w:rPr>
      </w:pPr>
      <w:r>
        <w:rPr>
          <w:rFonts w:hint="eastAsia" w:ascii="宋体" w:hAnsi="宋体"/>
          <w:bCs/>
          <w:color w:val="000000"/>
          <w:sz w:val="24"/>
        </w:rPr>
        <w:t>3、所指代理人即为竞投人代表人。</w:t>
      </w:r>
    </w:p>
    <w:p>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pPr>
        <w:spacing w:line="420" w:lineRule="exact"/>
        <w:rPr>
          <w:rFonts w:ascii="宋体" w:hAnsi="宋体"/>
          <w:bCs/>
          <w:color w:val="000000"/>
          <w:sz w:val="24"/>
        </w:rPr>
      </w:pPr>
      <w:r>
        <w:rPr>
          <w:rFonts w:hint="eastAsia" w:ascii="宋体" w:hAnsi="宋体"/>
          <w:bCs/>
          <w:color w:val="000000"/>
          <w:sz w:val="24"/>
        </w:rPr>
        <w:t>5、</w:t>
      </w:r>
      <w:r>
        <w:rPr>
          <w:rFonts w:hint="eastAsia" w:ascii="宋体" w:hAnsi="宋体"/>
          <w:color w:val="000000"/>
          <w:sz w:val="24"/>
        </w:rPr>
        <w:t>参加竞价会议必须携带二代身份证原件。</w:t>
      </w:r>
    </w:p>
    <w:p>
      <w:pPr>
        <w:rPr>
          <w:rFonts w:ascii="宋体" w:hAnsi="宋体"/>
          <w:color w:val="000000"/>
        </w:rPr>
      </w:pPr>
    </w:p>
    <w:p>
      <w:pPr>
        <w:rPr>
          <w:rFonts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代理人身份证复印件正面</w:t>
                      </w: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pStyle w:val="104"/>
        <w:jc w:val="center"/>
        <w:rPr>
          <w:rFonts w:ascii="宋体" w:hAnsi="宋体"/>
          <w:color w:val="000000"/>
        </w:rPr>
      </w:pPr>
      <w:bookmarkStart w:id="85" w:name="_Toc21511"/>
      <w:r>
        <w:rPr>
          <w:rFonts w:hint="eastAsia" w:ascii="宋体" w:hAnsi="宋体"/>
          <w:color w:val="000000"/>
        </w:rPr>
        <w:t>陪同人员证明</w:t>
      </w:r>
      <w:r>
        <w:rPr>
          <w:rFonts w:ascii="宋体" w:hAnsi="宋体"/>
          <w:color w:val="000000"/>
        </w:rPr>
        <w:t>书</w:t>
      </w:r>
      <w:bookmarkEnd w:id="85"/>
    </w:p>
    <w:p>
      <w:pPr>
        <w:jc w:val="center"/>
        <w:rPr>
          <w:color w:val="000000"/>
          <w:sz w:val="24"/>
        </w:rPr>
      </w:pPr>
      <w:r>
        <w:rPr>
          <w:rFonts w:hint="eastAsia"/>
          <w:color w:val="000000"/>
          <w:sz w:val="24"/>
        </w:rPr>
        <w:t>（</w:t>
      </w:r>
      <w:r>
        <w:rPr>
          <w:rFonts w:hint="eastAsia" w:ascii="宋体" w:hAnsi="宋体"/>
          <w:color w:val="000000"/>
          <w:sz w:val="24"/>
        </w:rPr>
        <w:t>竞投人为非自然人按需填写本证明书）</w:t>
      </w:r>
    </w:p>
    <w:p>
      <w:pPr>
        <w:spacing w:line="360" w:lineRule="auto"/>
        <w:ind w:firstLine="567"/>
        <w:jc w:val="center"/>
        <w:rPr>
          <w:rFonts w:ascii="宋体" w:hAnsi="宋体"/>
          <w:color w:val="000000"/>
          <w:sz w:val="24"/>
        </w:rPr>
      </w:pPr>
    </w:p>
    <w:p>
      <w:pPr>
        <w:rPr>
          <w:rFonts w:ascii="宋体" w:hAnsi="宋体"/>
          <w:color w:val="000000"/>
          <w:sz w:val="24"/>
        </w:rPr>
      </w:pPr>
      <w:r>
        <w:rPr>
          <w:rFonts w:hint="eastAsia" w:ascii="宋体" w:hAnsi="宋体"/>
          <w:color w:val="000000"/>
          <w:sz w:val="24"/>
        </w:rPr>
        <w:t>致：广东省特种设备检测研究院顺德检测院</w:t>
      </w:r>
    </w:p>
    <w:p>
      <w:pPr>
        <w:rPr>
          <w:rFonts w:ascii="宋体" w:hAnsi="宋体"/>
          <w:color w:val="000000"/>
          <w:sz w:val="24"/>
        </w:rPr>
      </w:pPr>
    </w:p>
    <w:p>
      <w:pPr>
        <w:spacing w:line="360" w:lineRule="auto"/>
        <w:rPr>
          <w:rFonts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w:t>
      </w:r>
      <w:r>
        <w:rPr>
          <w:rFonts w:hint="eastAsia" w:ascii="宋体" w:hAnsi="宋体"/>
          <w:color w:val="000000"/>
          <w:sz w:val="24"/>
          <w:u w:val="single"/>
          <w:lang w:val="en-US" w:eastAsia="zh-CN"/>
        </w:rPr>
        <w:t>顺德检测院</w:t>
      </w:r>
      <w:r>
        <w:rPr>
          <w:rFonts w:hint="eastAsia" w:ascii="宋体" w:hAnsi="宋体"/>
          <w:color w:val="000000"/>
          <w:sz w:val="24"/>
          <w:u w:val="single"/>
          <w:lang w:eastAsia="zh-CN"/>
        </w:rPr>
        <w:t>烟气预处理机柜及上位机采购项目</w:t>
      </w:r>
      <w:r>
        <w:rPr>
          <w:rFonts w:hint="eastAsia" w:ascii="宋体" w:hAnsi="宋体"/>
          <w:color w:val="000000"/>
          <w:sz w:val="24"/>
          <w:u w:val="single"/>
        </w:rPr>
        <w:t xml:space="preserve">（项目编号：              </w:t>
      </w:r>
      <w:r>
        <w:rPr>
          <w:rFonts w:hint="eastAsia" w:ascii="宋体" w:hAnsi="宋体"/>
          <w:color w:val="000000"/>
          <w:sz w:val="24"/>
        </w:rPr>
        <w:t>）的竞投活动。</w:t>
      </w:r>
    </w:p>
    <w:p>
      <w:pPr>
        <w:spacing w:line="360" w:lineRule="auto"/>
        <w:ind w:firstLine="420"/>
        <w:rPr>
          <w:rFonts w:ascii="宋体" w:hAnsi="宋体"/>
          <w:color w:val="000000"/>
          <w:sz w:val="24"/>
        </w:rPr>
      </w:pPr>
      <w:r>
        <w:rPr>
          <w:rFonts w:hint="eastAsia" w:ascii="宋体" w:hAnsi="宋体"/>
          <w:color w:val="000000"/>
          <w:sz w:val="24"/>
        </w:rPr>
        <w:t>特此证明。</w:t>
      </w:r>
    </w:p>
    <w:p>
      <w:pPr>
        <w:spacing w:line="360" w:lineRule="auto"/>
        <w:ind w:firstLine="420"/>
        <w:rPr>
          <w:rFonts w:ascii="宋体" w:hAnsi="宋体"/>
          <w:color w:val="000000"/>
          <w:sz w:val="24"/>
        </w:rPr>
      </w:pPr>
    </w:p>
    <w:p>
      <w:pPr>
        <w:spacing w:line="360" w:lineRule="auto"/>
        <w:ind w:firstLine="420"/>
        <w:rPr>
          <w:rFonts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pPr>
        <w:spacing w:line="360" w:lineRule="auto"/>
        <w:ind w:firstLine="42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20"/>
        <w:rPr>
          <w:rFonts w:ascii="宋体" w:hAnsi="宋体"/>
          <w:color w:val="000000"/>
          <w:sz w:val="24"/>
          <w:u w:val="single"/>
        </w:rPr>
      </w:pPr>
    </w:p>
    <w:p>
      <w:pPr>
        <w:spacing w:line="360" w:lineRule="auto"/>
        <w:ind w:firstLine="420"/>
        <w:rPr>
          <w:rFonts w:ascii="宋体" w:hAnsi="宋体"/>
          <w:color w:val="000000"/>
          <w:sz w:val="24"/>
        </w:rPr>
      </w:pPr>
      <w:r>
        <w:rPr>
          <w:rFonts w:hint="eastAsia" w:ascii="宋体" w:hAnsi="宋体"/>
          <w:color w:val="000000"/>
          <w:sz w:val="24"/>
        </w:rPr>
        <w:t>注：</w:t>
      </w:r>
    </w:p>
    <w:p>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pPr>
        <w:spacing w:line="360" w:lineRule="auto"/>
        <w:ind w:firstLine="420"/>
        <w:rPr>
          <w:rFonts w:ascii="宋体" w:hAnsi="宋体"/>
          <w:color w:val="000000"/>
          <w:sz w:val="24"/>
        </w:rPr>
      </w:pPr>
      <w:r>
        <w:rPr>
          <w:rFonts w:hint="eastAsia" w:ascii="宋体" w:hAnsi="宋体"/>
          <w:color w:val="000000"/>
          <w:sz w:val="24"/>
        </w:rPr>
        <w:t>2、参加竞价会议必须携带二代身份证原件。</w:t>
      </w:r>
    </w:p>
    <w:p>
      <w:pPr>
        <w:rPr>
          <w:rFonts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身份证复印件正面</w:t>
                      </w: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pStyle w:val="2"/>
        <w:spacing w:line="360" w:lineRule="auto"/>
        <w:jc w:val="center"/>
        <w:rPr>
          <w:rFonts w:ascii="宋体" w:hAnsi="宋体"/>
          <w:color w:val="000000"/>
          <w:sz w:val="52"/>
          <w:szCs w:val="72"/>
        </w:rPr>
      </w:pPr>
      <w:bookmarkStart w:id="86" w:name="_Toc14870"/>
      <w:r>
        <w:rPr>
          <w:rFonts w:hint="eastAsia" w:ascii="宋体" w:hAnsi="宋体"/>
          <w:color w:val="000000"/>
          <w:sz w:val="52"/>
          <w:szCs w:val="72"/>
        </w:rPr>
        <w:t>第五章 附件</w:t>
      </w:r>
      <w:bookmarkEnd w:id="86"/>
    </w:p>
    <w:p>
      <w:pPr>
        <w:pStyle w:val="3"/>
        <w:snapToGrid w:val="0"/>
        <w:spacing w:before="120" w:beforeLines="50" w:after="120" w:afterLines="50" w:line="360" w:lineRule="auto"/>
        <w:jc w:val="center"/>
        <w:rPr>
          <w:b w:val="0"/>
        </w:rPr>
      </w:pPr>
      <w:bookmarkStart w:id="87" w:name="_Toc20822"/>
      <w:r>
        <w:rPr>
          <w:rFonts w:hint="eastAsia"/>
          <w:b w:val="0"/>
        </w:rPr>
        <w:t>报价表（参考格式）</w:t>
      </w:r>
      <w:bookmarkEnd w:id="87"/>
    </w:p>
    <w:p>
      <w:pPr>
        <w:tabs>
          <w:tab w:val="left" w:pos="7740"/>
        </w:tabs>
        <w:adjustRightInd w:val="0"/>
        <w:snapToGrid w:val="0"/>
        <w:rPr>
          <w:rFonts w:hint="eastAsia" w:ascii="宋体" w:hAnsi="宋体" w:eastAsia="宋体"/>
          <w:lang w:val="en-US" w:eastAsia="zh-CN"/>
        </w:rPr>
      </w:pPr>
      <w:r>
        <w:rPr>
          <w:rFonts w:hint="eastAsia" w:ascii="宋体" w:hAnsi="宋体"/>
        </w:rPr>
        <w:t>投标人名称：                                                     项目编号：S</w:t>
      </w:r>
      <w:r>
        <w:rPr>
          <w:rFonts w:ascii="宋体" w:hAnsi="宋体"/>
        </w:rPr>
        <w:t>DTJY202</w:t>
      </w:r>
      <w:r>
        <w:rPr>
          <w:rFonts w:hint="eastAsia" w:ascii="宋体" w:hAnsi="宋体"/>
          <w:lang w:val="en-US" w:eastAsia="zh-CN"/>
        </w:rPr>
        <w:t>3</w:t>
      </w:r>
      <w:r>
        <w:rPr>
          <w:rFonts w:ascii="宋体" w:hAnsi="宋体"/>
        </w:rPr>
        <w:t>00</w:t>
      </w:r>
      <w:r>
        <w:rPr>
          <w:rFonts w:hint="eastAsia" w:ascii="宋体" w:hAnsi="宋体"/>
          <w:lang w:val="en-US" w:eastAsia="zh-CN"/>
        </w:rPr>
        <w:t>5</w:t>
      </w:r>
    </w:p>
    <w:tbl>
      <w:tblPr>
        <w:tblStyle w:val="29"/>
        <w:tblW w:w="10935" w:type="dxa"/>
        <w:tblInd w:w="-695" w:type="dxa"/>
        <w:tblLayout w:type="fixed"/>
        <w:tblCellMar>
          <w:top w:w="0" w:type="dxa"/>
          <w:left w:w="108" w:type="dxa"/>
          <w:bottom w:w="0" w:type="dxa"/>
          <w:right w:w="108" w:type="dxa"/>
        </w:tblCellMar>
      </w:tblPr>
      <w:tblGrid>
        <w:gridCol w:w="976"/>
        <w:gridCol w:w="2500"/>
        <w:gridCol w:w="1646"/>
        <w:gridCol w:w="1700"/>
        <w:gridCol w:w="1080"/>
        <w:gridCol w:w="1080"/>
        <w:gridCol w:w="1080"/>
        <w:gridCol w:w="873"/>
      </w:tblGrid>
      <w:tr>
        <w:tblPrEx>
          <w:tblCellMar>
            <w:top w:w="0" w:type="dxa"/>
            <w:left w:w="108" w:type="dxa"/>
            <w:bottom w:w="0" w:type="dxa"/>
            <w:right w:w="108" w:type="dxa"/>
          </w:tblCellMar>
        </w:tblPrEx>
        <w:trPr>
          <w:trHeight w:val="285" w:hRule="atLeast"/>
        </w:trPr>
        <w:tc>
          <w:tcPr>
            <w:tcW w:w="97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产品名称</w:t>
            </w:r>
          </w:p>
        </w:tc>
        <w:tc>
          <w:tcPr>
            <w:tcW w:w="1646"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型号参数要求</w:t>
            </w:r>
          </w:p>
        </w:tc>
        <w:tc>
          <w:tcPr>
            <w:tcW w:w="170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制造商</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单位</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数量</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单价</w:t>
            </w:r>
          </w:p>
        </w:tc>
        <w:tc>
          <w:tcPr>
            <w:tcW w:w="873"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合计</w:t>
            </w:r>
          </w:p>
        </w:tc>
      </w:tr>
      <w:tr>
        <w:tblPrEx>
          <w:tblCellMar>
            <w:top w:w="0" w:type="dxa"/>
            <w:left w:w="108" w:type="dxa"/>
            <w:bottom w:w="0" w:type="dxa"/>
            <w:right w:w="108" w:type="dxa"/>
          </w:tblCellMar>
        </w:tblPrEx>
        <w:trPr>
          <w:trHeight w:val="595" w:hRule="atLeast"/>
        </w:trPr>
        <w:tc>
          <w:tcPr>
            <w:tcW w:w="97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highlight w:val="yellow"/>
              </w:rPr>
            </w:pP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套</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8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27" w:hRule="atLeast"/>
        </w:trPr>
        <w:tc>
          <w:tcPr>
            <w:tcW w:w="97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highlight w:val="yellow"/>
              </w:rPr>
            </w:pP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8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27" w:hRule="atLeast"/>
        </w:trPr>
        <w:tc>
          <w:tcPr>
            <w:tcW w:w="97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highlight w:val="yellow"/>
              </w:rPr>
            </w:pP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套</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4</w:t>
            </w:r>
          </w:p>
        </w:tc>
        <w:tc>
          <w:tcPr>
            <w:tcW w:w="108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24"/>
              </w:rPr>
            </w:pPr>
          </w:p>
        </w:tc>
        <w:tc>
          <w:tcPr>
            <w:tcW w:w="873"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285" w:hRule="atLeast"/>
        </w:trPr>
        <w:tc>
          <w:tcPr>
            <w:tcW w:w="10935" w:type="dxa"/>
            <w:gridSpan w:val="8"/>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宋体" w:hAnsi="宋体" w:cs="宋体"/>
                <w:kern w:val="0"/>
                <w:sz w:val="24"/>
              </w:rPr>
            </w:pPr>
            <w:r>
              <w:rPr>
                <w:rFonts w:hint="eastAsia" w:ascii="宋体" w:hAnsi="宋体" w:cs="宋体"/>
                <w:kern w:val="0"/>
                <w:sz w:val="24"/>
              </w:rPr>
              <w:t>总价（含税）：</w:t>
            </w:r>
          </w:p>
        </w:tc>
      </w:tr>
    </w:tbl>
    <w:p>
      <w:pPr>
        <w:spacing w:line="500" w:lineRule="exact"/>
        <w:rPr>
          <w:rFonts w:ascii="宋体" w:hAnsi="宋体"/>
          <w:u w:val="single"/>
        </w:rPr>
      </w:pPr>
      <w:r>
        <w:rPr>
          <w:rFonts w:hint="eastAsia" w:ascii="宋体" w:hAnsi="宋体"/>
        </w:rPr>
        <w:t>投标人名称(加盖公章)</w:t>
      </w:r>
      <w:r>
        <w:rPr>
          <w:rFonts w:hint="eastAsia"/>
          <w:spacing w:val="4"/>
        </w:rPr>
        <w:t>：</w:t>
      </w:r>
    </w:p>
    <w:p>
      <w:pPr>
        <w:rPr>
          <w:spacing w:val="4"/>
        </w:rPr>
      </w:pPr>
    </w:p>
    <w:p>
      <w:pPr>
        <w:spacing w:line="520" w:lineRule="exact"/>
        <w:rPr>
          <w:spacing w:val="4"/>
        </w:rPr>
      </w:pPr>
      <w:r>
        <w:rPr>
          <w:rFonts w:hint="eastAsia" w:ascii="宋体"/>
        </w:rPr>
        <w:t>法定代表人或</w:t>
      </w:r>
      <w:r>
        <w:rPr>
          <w:rFonts w:hint="eastAsia" w:ascii="宋体" w:hAnsi="宋体"/>
        </w:rPr>
        <w:t xml:space="preserve">投标人授权代表（签名或盖章）：                </w:t>
      </w:r>
      <w:r>
        <w:rPr>
          <w:rFonts w:hint="eastAsia"/>
          <w:spacing w:val="4"/>
        </w:rPr>
        <w:t>职务：       日期</w:t>
      </w:r>
    </w:p>
    <w:p>
      <w:pPr>
        <w:spacing w:line="200" w:lineRule="exact"/>
        <w:rPr>
          <w:rFonts w:ascii="宋体" w:hAnsi="宋体"/>
          <w:b/>
          <w:bCs/>
          <w:sz w:val="18"/>
          <w:szCs w:val="18"/>
        </w:rPr>
      </w:pPr>
      <w:r>
        <w:rPr>
          <w:rFonts w:hint="eastAsia" w:ascii="宋体" w:hAnsi="宋体"/>
          <w:b/>
          <w:bCs/>
          <w:sz w:val="18"/>
          <w:szCs w:val="18"/>
        </w:rPr>
        <w:t>备注：</w:t>
      </w:r>
    </w:p>
    <w:p>
      <w:pPr>
        <w:numPr>
          <w:ilvl w:val="1"/>
          <w:numId w:val="15"/>
        </w:numPr>
        <w:tabs>
          <w:tab w:val="left" w:pos="360"/>
          <w:tab w:val="left" w:pos="840"/>
          <w:tab w:val="clear" w:pos="1620"/>
        </w:tabs>
        <w:snapToGrid w:val="0"/>
        <w:spacing w:line="200" w:lineRule="exact"/>
        <w:ind w:left="360"/>
        <w:rPr>
          <w:b/>
          <w:bCs/>
          <w:sz w:val="18"/>
          <w:szCs w:val="18"/>
        </w:rPr>
      </w:pPr>
      <w:r>
        <w:rPr>
          <w:rFonts w:hint="eastAsia"/>
          <w:b/>
          <w:bCs/>
          <w:sz w:val="18"/>
          <w:szCs w:val="18"/>
        </w:rPr>
        <w:t>本项目不接受有选择性的投标报价，报价总费用含计量费</w:t>
      </w:r>
      <w:r>
        <w:rPr>
          <w:rFonts w:hint="eastAsia" w:ascii="宋体" w:hAnsi="宋体"/>
          <w:b/>
          <w:sz w:val="18"/>
          <w:szCs w:val="18"/>
        </w:rPr>
        <w:t>。</w:t>
      </w:r>
    </w:p>
    <w:p>
      <w:pPr>
        <w:numPr>
          <w:ilvl w:val="1"/>
          <w:numId w:val="15"/>
        </w:numPr>
        <w:tabs>
          <w:tab w:val="left" w:pos="360"/>
          <w:tab w:val="left" w:pos="840"/>
          <w:tab w:val="clear" w:pos="1620"/>
        </w:tabs>
        <w:snapToGrid w:val="0"/>
        <w:spacing w:line="200" w:lineRule="exact"/>
        <w:ind w:left="360"/>
        <w:rPr>
          <w:b/>
          <w:bCs/>
          <w:sz w:val="18"/>
          <w:szCs w:val="18"/>
        </w:rPr>
      </w:pPr>
      <w:r>
        <w:rPr>
          <w:rFonts w:hint="eastAsia" w:ascii="宋体" w:hAnsi="宋体"/>
          <w:b/>
          <w:bCs/>
          <w:spacing w:val="4"/>
          <w:sz w:val="18"/>
          <w:szCs w:val="18"/>
        </w:rPr>
        <w:t>中文大写金额用汉字，如壹、贰、叁、肆、伍、陆、柒、捌、玖、拾、佰、仟、万、亿、元、角、分、零、整（正）等。</w:t>
      </w:r>
    </w:p>
    <w:p>
      <w:pPr>
        <w:numPr>
          <w:ilvl w:val="1"/>
          <w:numId w:val="15"/>
        </w:numPr>
        <w:tabs>
          <w:tab w:val="left" w:pos="360"/>
          <w:tab w:val="left" w:pos="840"/>
          <w:tab w:val="clear" w:pos="1620"/>
        </w:tabs>
        <w:snapToGrid w:val="0"/>
        <w:spacing w:line="200" w:lineRule="exact"/>
        <w:ind w:left="360"/>
        <w:rPr>
          <w:rFonts w:ascii="宋体" w:hAnsi="宋体"/>
          <w:b/>
          <w:sz w:val="18"/>
          <w:szCs w:val="18"/>
        </w:rPr>
      </w:pPr>
      <w:r>
        <w:rPr>
          <w:rFonts w:hint="eastAsia" w:ascii="宋体" w:hAnsi="宋体"/>
          <w:b/>
          <w:sz w:val="18"/>
          <w:szCs w:val="18"/>
        </w:rPr>
        <w:t>若报价有小数点后的数值的，保留小数点后两位小数。</w:t>
      </w:r>
    </w:p>
    <w:p>
      <w:pPr>
        <w:numPr>
          <w:ilvl w:val="1"/>
          <w:numId w:val="15"/>
        </w:numPr>
        <w:tabs>
          <w:tab w:val="left" w:pos="360"/>
          <w:tab w:val="left" w:pos="840"/>
          <w:tab w:val="clear" w:pos="1620"/>
        </w:tabs>
        <w:snapToGrid w:val="0"/>
        <w:spacing w:line="200" w:lineRule="exact"/>
        <w:ind w:left="360"/>
        <w:rPr>
          <w:rFonts w:ascii="宋体" w:hAnsi="宋体"/>
          <w:b/>
          <w:sz w:val="18"/>
          <w:szCs w:val="18"/>
        </w:rPr>
      </w:pPr>
      <w:r>
        <w:rPr>
          <w:rFonts w:hint="eastAsia" w:ascii="宋体" w:hAnsi="宋体"/>
          <w:b/>
          <w:sz w:val="18"/>
          <w:szCs w:val="18"/>
        </w:rPr>
        <w:t>制造商由竞价人自行填写。</w:t>
      </w:r>
    </w:p>
    <w:sectPr>
      <w:pgSz w:w="11907" w:h="16840"/>
      <w:pgMar w:top="1417" w:right="1134" w:bottom="1417" w:left="1134"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Style w:val="32"/>
      </w:rPr>
    </w:pPr>
    <w:r>
      <w:rPr>
        <w:rStyle w:val="32"/>
        <w:rFonts w:hint="eastAsia"/>
      </w:rPr>
      <w:t xml:space="preserve">                                                                                                                            </w:t>
    </w:r>
  </w:p>
  <w:p>
    <w:pPr>
      <w:pStyle w:val="21"/>
      <w:framePr w:wrap="around" w:vAnchor="text" w:hAnchor="margin" w:xAlign="right"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5</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lang w:val="en-US" w:eastAsia="zh-CN"/>
                            </w:rPr>
                            <w:t>20</w:t>
                          </w:r>
                          <w:r>
                            <w:rPr>
                              <w:rFonts w:hint="eastAsia"/>
                            </w:rP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95+B7LAQAAl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MVB78u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fgeywEAAJcDAAAOAAAAAAAAAAEAIAAAACIBAABkcnMv&#10;ZTJvRG9jLnhtbFBLBQYAAAAABgAGAFkBAABfBQAAAAA=&#10;">
              <v:fill on="f" focussize="0,0"/>
              <v:stroke on="f" weight="1.25pt"/>
              <v:imagedata o:title=""/>
              <o:lock v:ext="edit" aspectratio="f"/>
              <v:textbox inset="0mm,0mm,0mm,0mm" style="mso-fit-shape-to-text:t;">
                <w:txbxContent>
                  <w:p>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lang w:val="en-US" w:eastAsia="zh-CN"/>
                      </w:rPr>
                      <w:t>20</w:t>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Style w:val="3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20</w:t>
                          </w:r>
                          <w:r>
                            <w:rPr>
                              <w:rFonts w:hint="eastAsia"/>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r6jbLAQAAmA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SWxzODETz++n37+&#10;Pv36Rm6SPr2HGtOePSbG4cENmDvfA14m2oMMJn2REME4Qh3P6oohEp4eVcuqKjHEMTY7iF+8PPcB&#10;4nvhDElGQwOOL6vKDh8hjqlzSqpm3aPSOo9QW9Ij6nV1e51fnEOIri0WSSzGbpMVh+0wUdu69ojM&#10;etyBhlpceUr0B4sSY6dxNsJsbCcjlQd/v4/YQu4soY5QUzEcWOY2LVfaiL/9nPXyQ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I6+o2ywEAAJgDAAAOAAAAAAAAAAEAIAAAACIBAABkcnMv&#10;ZTJvRG9jLnhtbFBLBQYAAAAABgAGAFkBAABfBQAAAAA=&#10;">
              <v:fill on="f" focussize="0,0"/>
              <v:stroke on="f" weight="1.25pt"/>
              <v:imagedata o:title=""/>
              <o:lock v:ext="edit" aspectratio="f"/>
              <v:textbox inset="0mm,0mm,0mm,0mm" style="mso-fit-shape-to-text:t;">
                <w:txbxContent>
                  <w:p>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20</w:t>
                    </w:r>
                    <w:r>
                      <w:rPr>
                        <w:rFonts w:hint="eastAsia"/>
                      </w:rPr>
                      <w:t xml:space="preserve"> 页</w:t>
                    </w:r>
                  </w:p>
                </w:txbxContent>
              </v:textbox>
            </v:shape>
          </w:pict>
        </mc:Fallback>
      </mc:AlternateContent>
    </w:r>
    <w:r>
      <w:rPr>
        <w:rStyle w:val="32"/>
        <w:rFonts w:hint="eastAsia"/>
      </w:rPr>
      <w:t xml:space="preserve">                                                                                                                            </w:t>
    </w:r>
  </w:p>
  <w:p>
    <w:pPr>
      <w:pStyle w:val="21"/>
      <w:framePr w:wrap="around" w:vAnchor="text" w:hAnchor="margin" w:xAlign="right" w:y="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055B6"/>
    <w:multiLevelType w:val="singleLevel"/>
    <w:tmpl w:val="CAE055B6"/>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59"/>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6466C15"/>
    <w:multiLevelType w:val="multilevel"/>
    <w:tmpl w:val="06466C1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7">
    <w:nsid w:val="22303E2D"/>
    <w:multiLevelType w:val="multilevel"/>
    <w:tmpl w:val="22303E2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55B12A78"/>
    <w:multiLevelType w:val="multilevel"/>
    <w:tmpl w:val="55B12A7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7A846717"/>
    <w:multiLevelType w:val="multilevel"/>
    <w:tmpl w:val="7A846717"/>
    <w:lvl w:ilvl="0" w:tentative="0">
      <w:start w:val="1"/>
      <w:numFmt w:val="decimal"/>
      <w:lvlText w:val="%1."/>
      <w:lvlJc w:val="left"/>
      <w:pPr>
        <w:tabs>
          <w:tab w:val="left" w:pos="425"/>
        </w:tabs>
        <w:ind w:left="425" w:hanging="425"/>
      </w:pPr>
      <w:rPr>
        <w:color w:val="auto"/>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7"/>
  </w:num>
  <w:num w:numId="8">
    <w:abstractNumId w:val="10"/>
  </w:num>
  <w:num w:numId="9">
    <w:abstractNumId w:val="13"/>
  </w:num>
  <w:num w:numId="10">
    <w:abstractNumId w:val="14"/>
  </w:num>
  <w:num w:numId="11">
    <w:abstractNumId w:val="5"/>
  </w:num>
  <w:num w:numId="12">
    <w:abstractNumId w:val="8"/>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OWUxNjJjYzNhOWM0NDI5NjczYTA2MzY0NzcwNTkifQ=="/>
  </w:docVars>
  <w:rsids>
    <w:rsidRoot w:val="00172A27"/>
    <w:rsid w:val="00016668"/>
    <w:rsid w:val="0005311B"/>
    <w:rsid w:val="000579C1"/>
    <w:rsid w:val="0007347A"/>
    <w:rsid w:val="00086B7B"/>
    <w:rsid w:val="00093AD0"/>
    <w:rsid w:val="000E4E0E"/>
    <w:rsid w:val="00172A27"/>
    <w:rsid w:val="001B1B21"/>
    <w:rsid w:val="001B3AD7"/>
    <w:rsid w:val="001C2DCC"/>
    <w:rsid w:val="001E1373"/>
    <w:rsid w:val="002B11C5"/>
    <w:rsid w:val="002B395E"/>
    <w:rsid w:val="00304743"/>
    <w:rsid w:val="0037559A"/>
    <w:rsid w:val="003A201D"/>
    <w:rsid w:val="0040737D"/>
    <w:rsid w:val="004164CA"/>
    <w:rsid w:val="004166B1"/>
    <w:rsid w:val="004863EA"/>
    <w:rsid w:val="004A4129"/>
    <w:rsid w:val="00523099"/>
    <w:rsid w:val="00530BF2"/>
    <w:rsid w:val="0056684A"/>
    <w:rsid w:val="005B07D6"/>
    <w:rsid w:val="005E4BA8"/>
    <w:rsid w:val="005F12AE"/>
    <w:rsid w:val="00605361"/>
    <w:rsid w:val="00607B8B"/>
    <w:rsid w:val="0062025B"/>
    <w:rsid w:val="0065118D"/>
    <w:rsid w:val="006C6C71"/>
    <w:rsid w:val="006E5335"/>
    <w:rsid w:val="0074219D"/>
    <w:rsid w:val="0077221F"/>
    <w:rsid w:val="0078400F"/>
    <w:rsid w:val="007A09C2"/>
    <w:rsid w:val="007B25EC"/>
    <w:rsid w:val="007C623C"/>
    <w:rsid w:val="007D77F4"/>
    <w:rsid w:val="00801517"/>
    <w:rsid w:val="00883893"/>
    <w:rsid w:val="00922FDF"/>
    <w:rsid w:val="00923FAB"/>
    <w:rsid w:val="0093282D"/>
    <w:rsid w:val="00942A11"/>
    <w:rsid w:val="0097068F"/>
    <w:rsid w:val="009877E8"/>
    <w:rsid w:val="009915E7"/>
    <w:rsid w:val="00997C56"/>
    <w:rsid w:val="009B32B8"/>
    <w:rsid w:val="009B332B"/>
    <w:rsid w:val="009C1C40"/>
    <w:rsid w:val="009C2BE7"/>
    <w:rsid w:val="00A6772A"/>
    <w:rsid w:val="00A74C3F"/>
    <w:rsid w:val="00A756EC"/>
    <w:rsid w:val="00A95DD5"/>
    <w:rsid w:val="00A97190"/>
    <w:rsid w:val="00B40594"/>
    <w:rsid w:val="00B7656F"/>
    <w:rsid w:val="00B76619"/>
    <w:rsid w:val="00BC05F2"/>
    <w:rsid w:val="00BE7441"/>
    <w:rsid w:val="00CA7134"/>
    <w:rsid w:val="00CF0491"/>
    <w:rsid w:val="00D50E2F"/>
    <w:rsid w:val="00D57A6D"/>
    <w:rsid w:val="00DE2476"/>
    <w:rsid w:val="00DF731F"/>
    <w:rsid w:val="00E16AD2"/>
    <w:rsid w:val="00E30986"/>
    <w:rsid w:val="00E40B6B"/>
    <w:rsid w:val="00E9035E"/>
    <w:rsid w:val="00F03ED8"/>
    <w:rsid w:val="00F16C60"/>
    <w:rsid w:val="01437511"/>
    <w:rsid w:val="017859C5"/>
    <w:rsid w:val="018B271C"/>
    <w:rsid w:val="01B870E6"/>
    <w:rsid w:val="02316E1B"/>
    <w:rsid w:val="02331C1D"/>
    <w:rsid w:val="02371338"/>
    <w:rsid w:val="0289774C"/>
    <w:rsid w:val="02C1531D"/>
    <w:rsid w:val="02F94AB6"/>
    <w:rsid w:val="05C030D2"/>
    <w:rsid w:val="06151054"/>
    <w:rsid w:val="063A3CBF"/>
    <w:rsid w:val="06E865AD"/>
    <w:rsid w:val="070B7246"/>
    <w:rsid w:val="07AE51D0"/>
    <w:rsid w:val="07CC5F8F"/>
    <w:rsid w:val="08F04F6F"/>
    <w:rsid w:val="0A466590"/>
    <w:rsid w:val="0ABA7BCB"/>
    <w:rsid w:val="0B880AF7"/>
    <w:rsid w:val="0D0F6972"/>
    <w:rsid w:val="0DA10224"/>
    <w:rsid w:val="0E5A5067"/>
    <w:rsid w:val="0E667279"/>
    <w:rsid w:val="0E9503EE"/>
    <w:rsid w:val="0F4D2578"/>
    <w:rsid w:val="0FA72F03"/>
    <w:rsid w:val="10595389"/>
    <w:rsid w:val="106222C4"/>
    <w:rsid w:val="108170C8"/>
    <w:rsid w:val="10BE1B2C"/>
    <w:rsid w:val="10CD1330"/>
    <w:rsid w:val="11895257"/>
    <w:rsid w:val="11AF3A9B"/>
    <w:rsid w:val="11F938F0"/>
    <w:rsid w:val="12672F23"/>
    <w:rsid w:val="12E12FE3"/>
    <w:rsid w:val="13400D1B"/>
    <w:rsid w:val="140E1750"/>
    <w:rsid w:val="1422381A"/>
    <w:rsid w:val="149A4503"/>
    <w:rsid w:val="14D2074B"/>
    <w:rsid w:val="16732C2C"/>
    <w:rsid w:val="168F45E9"/>
    <w:rsid w:val="16ED73A3"/>
    <w:rsid w:val="17115129"/>
    <w:rsid w:val="17256A0E"/>
    <w:rsid w:val="18A230A3"/>
    <w:rsid w:val="18D23988"/>
    <w:rsid w:val="1A3E4FEF"/>
    <w:rsid w:val="1A75634A"/>
    <w:rsid w:val="1A9A12BC"/>
    <w:rsid w:val="1A9C424D"/>
    <w:rsid w:val="1BB17AD1"/>
    <w:rsid w:val="1DA4228D"/>
    <w:rsid w:val="1DE23A9B"/>
    <w:rsid w:val="1E1A395F"/>
    <w:rsid w:val="1E5B25F5"/>
    <w:rsid w:val="1F0817FC"/>
    <w:rsid w:val="1F6519A2"/>
    <w:rsid w:val="1F750F50"/>
    <w:rsid w:val="1FA42BEE"/>
    <w:rsid w:val="20043FE8"/>
    <w:rsid w:val="20623843"/>
    <w:rsid w:val="2073051D"/>
    <w:rsid w:val="21184766"/>
    <w:rsid w:val="21262AEB"/>
    <w:rsid w:val="22493268"/>
    <w:rsid w:val="22BD1205"/>
    <w:rsid w:val="239D6EAE"/>
    <w:rsid w:val="244601D2"/>
    <w:rsid w:val="25A01569"/>
    <w:rsid w:val="25D551A6"/>
    <w:rsid w:val="26724558"/>
    <w:rsid w:val="26A276C5"/>
    <w:rsid w:val="270450A1"/>
    <w:rsid w:val="27C72775"/>
    <w:rsid w:val="285E020F"/>
    <w:rsid w:val="285F61F6"/>
    <w:rsid w:val="29103C89"/>
    <w:rsid w:val="2A690997"/>
    <w:rsid w:val="2AE44C51"/>
    <w:rsid w:val="2BD900EA"/>
    <w:rsid w:val="2D1E7D4F"/>
    <w:rsid w:val="2EE61C43"/>
    <w:rsid w:val="2EF538B0"/>
    <w:rsid w:val="2F386F00"/>
    <w:rsid w:val="2FE24D14"/>
    <w:rsid w:val="30517430"/>
    <w:rsid w:val="30576A3F"/>
    <w:rsid w:val="318034FD"/>
    <w:rsid w:val="349C5D03"/>
    <w:rsid w:val="3517583E"/>
    <w:rsid w:val="354108C3"/>
    <w:rsid w:val="35476B86"/>
    <w:rsid w:val="35A372CF"/>
    <w:rsid w:val="35C27910"/>
    <w:rsid w:val="35C33F08"/>
    <w:rsid w:val="365631F1"/>
    <w:rsid w:val="379A04D2"/>
    <w:rsid w:val="37E52D4B"/>
    <w:rsid w:val="38F10254"/>
    <w:rsid w:val="396C7FA3"/>
    <w:rsid w:val="39EE3727"/>
    <w:rsid w:val="3AC06225"/>
    <w:rsid w:val="3AF35D6A"/>
    <w:rsid w:val="3B5A3062"/>
    <w:rsid w:val="3D283F5F"/>
    <w:rsid w:val="3D2F204B"/>
    <w:rsid w:val="3D5D00E5"/>
    <w:rsid w:val="3D8A6E17"/>
    <w:rsid w:val="3E464D24"/>
    <w:rsid w:val="3E4D4398"/>
    <w:rsid w:val="3F9F3C83"/>
    <w:rsid w:val="3FA10220"/>
    <w:rsid w:val="3FC26F51"/>
    <w:rsid w:val="3FD81474"/>
    <w:rsid w:val="40877550"/>
    <w:rsid w:val="40C46227"/>
    <w:rsid w:val="40E62FD0"/>
    <w:rsid w:val="4116506B"/>
    <w:rsid w:val="423A41C8"/>
    <w:rsid w:val="427F6A50"/>
    <w:rsid w:val="42C30832"/>
    <w:rsid w:val="42C638AF"/>
    <w:rsid w:val="42E87261"/>
    <w:rsid w:val="42F41741"/>
    <w:rsid w:val="42F8373B"/>
    <w:rsid w:val="430B2961"/>
    <w:rsid w:val="4337388E"/>
    <w:rsid w:val="44617FBA"/>
    <w:rsid w:val="446A04A9"/>
    <w:rsid w:val="448F3867"/>
    <w:rsid w:val="44C34D3E"/>
    <w:rsid w:val="45AC5B86"/>
    <w:rsid w:val="45DD2B49"/>
    <w:rsid w:val="46D600A0"/>
    <w:rsid w:val="46FA5CD4"/>
    <w:rsid w:val="47231BBC"/>
    <w:rsid w:val="47480145"/>
    <w:rsid w:val="47BF4CF5"/>
    <w:rsid w:val="483A715A"/>
    <w:rsid w:val="49E365FC"/>
    <w:rsid w:val="4A9D290B"/>
    <w:rsid w:val="4AF32743"/>
    <w:rsid w:val="4B1D3867"/>
    <w:rsid w:val="4B7635FE"/>
    <w:rsid w:val="4BA861E4"/>
    <w:rsid w:val="4C034013"/>
    <w:rsid w:val="4CD0328B"/>
    <w:rsid w:val="4D1A1649"/>
    <w:rsid w:val="4D6A1257"/>
    <w:rsid w:val="4DFE0C9B"/>
    <w:rsid w:val="4E632871"/>
    <w:rsid w:val="4E814285"/>
    <w:rsid w:val="4E98265C"/>
    <w:rsid w:val="4EA469E5"/>
    <w:rsid w:val="4EDE29F2"/>
    <w:rsid w:val="4F7045FB"/>
    <w:rsid w:val="4F946912"/>
    <w:rsid w:val="4FAA3EA1"/>
    <w:rsid w:val="50243216"/>
    <w:rsid w:val="50DB43AF"/>
    <w:rsid w:val="50FD48EA"/>
    <w:rsid w:val="51DA24E5"/>
    <w:rsid w:val="52437604"/>
    <w:rsid w:val="52FB3F3C"/>
    <w:rsid w:val="534E0D1D"/>
    <w:rsid w:val="5369000F"/>
    <w:rsid w:val="536A5F90"/>
    <w:rsid w:val="5371478A"/>
    <w:rsid w:val="537712D5"/>
    <w:rsid w:val="540D34EB"/>
    <w:rsid w:val="54564F2C"/>
    <w:rsid w:val="5547105B"/>
    <w:rsid w:val="554D7917"/>
    <w:rsid w:val="559173C4"/>
    <w:rsid w:val="55AE10CB"/>
    <w:rsid w:val="55B24517"/>
    <w:rsid w:val="56281636"/>
    <w:rsid w:val="564F7456"/>
    <w:rsid w:val="570104F4"/>
    <w:rsid w:val="58742BFC"/>
    <w:rsid w:val="591F2952"/>
    <w:rsid w:val="5920298F"/>
    <w:rsid w:val="5BE130B9"/>
    <w:rsid w:val="5BEB7F91"/>
    <w:rsid w:val="5CBD165C"/>
    <w:rsid w:val="5CF41A7E"/>
    <w:rsid w:val="5D1B4B46"/>
    <w:rsid w:val="5E3478C6"/>
    <w:rsid w:val="5EEC7FD7"/>
    <w:rsid w:val="5FAA3E0A"/>
    <w:rsid w:val="5FFF7621"/>
    <w:rsid w:val="6111376C"/>
    <w:rsid w:val="63A172DC"/>
    <w:rsid w:val="64E90314"/>
    <w:rsid w:val="650E4E75"/>
    <w:rsid w:val="65382A4E"/>
    <w:rsid w:val="653B6F00"/>
    <w:rsid w:val="653F2A61"/>
    <w:rsid w:val="65860192"/>
    <w:rsid w:val="65B120D8"/>
    <w:rsid w:val="66AE135A"/>
    <w:rsid w:val="6709600A"/>
    <w:rsid w:val="671D3DFD"/>
    <w:rsid w:val="681C05BE"/>
    <w:rsid w:val="691023D5"/>
    <w:rsid w:val="69D51289"/>
    <w:rsid w:val="6A127B4C"/>
    <w:rsid w:val="6B3717AA"/>
    <w:rsid w:val="6BCF0386"/>
    <w:rsid w:val="6BE57425"/>
    <w:rsid w:val="6C140943"/>
    <w:rsid w:val="6C7939F8"/>
    <w:rsid w:val="6E17142D"/>
    <w:rsid w:val="6EB85ABF"/>
    <w:rsid w:val="6EFF06EA"/>
    <w:rsid w:val="6F5F3DB0"/>
    <w:rsid w:val="710F1294"/>
    <w:rsid w:val="748A124E"/>
    <w:rsid w:val="76395D47"/>
    <w:rsid w:val="76DD285A"/>
    <w:rsid w:val="7750356B"/>
    <w:rsid w:val="77AC3BC5"/>
    <w:rsid w:val="77FA1080"/>
    <w:rsid w:val="78784239"/>
    <w:rsid w:val="78B71ACC"/>
    <w:rsid w:val="79657CB7"/>
    <w:rsid w:val="798E037A"/>
    <w:rsid w:val="79E875B4"/>
    <w:rsid w:val="7A1F2E29"/>
    <w:rsid w:val="7C114908"/>
    <w:rsid w:val="7C3850B7"/>
    <w:rsid w:val="7C4170B0"/>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w:basedOn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15">
    <w:name w:val="Body Text Indent"/>
    <w:basedOn w:val="1"/>
    <w:qFormat/>
    <w:uiPriority w:val="0"/>
    <w:pPr>
      <w:spacing w:line="360" w:lineRule="auto"/>
      <w:ind w:firstLine="210" w:firstLineChars="100"/>
    </w:pPr>
    <w:rPr>
      <w:color w:val="000000"/>
      <w:szCs w:val="21"/>
    </w:rPr>
  </w:style>
  <w:style w:type="paragraph" w:styleId="16">
    <w:name w:val="toc 3"/>
    <w:basedOn w:val="1"/>
    <w:next w:val="1"/>
    <w:qFormat/>
    <w:uiPriority w:val="0"/>
    <w:pPr>
      <w:tabs>
        <w:tab w:val="right" w:leader="dot" w:pos="9000"/>
      </w:tabs>
      <w:ind w:left="840" w:leftChars="400"/>
    </w:pPr>
  </w:style>
  <w:style w:type="paragraph" w:styleId="17">
    <w:name w:val="Plain Text"/>
    <w:basedOn w:val="1"/>
    <w:qFormat/>
    <w:uiPriority w:val="99"/>
    <w:rPr>
      <w:rFonts w:ascii="宋体" w:hAnsi="Courier New"/>
      <w:szCs w:val="20"/>
    </w:rPr>
  </w:style>
  <w:style w:type="paragraph" w:styleId="18">
    <w:name w:val="Date"/>
    <w:basedOn w:val="1"/>
    <w:next w:val="1"/>
    <w:qFormat/>
    <w:uiPriority w:val="0"/>
    <w:pPr>
      <w:adjustRightInd w:val="0"/>
      <w:spacing w:line="312" w:lineRule="atLeast"/>
      <w:jc w:val="right"/>
      <w:textAlignment w:val="baseline"/>
    </w:pPr>
    <w:rPr>
      <w:kern w:val="0"/>
      <w:sz w:val="32"/>
      <w:szCs w:val="20"/>
    </w:rPr>
  </w:style>
  <w:style w:type="paragraph" w:styleId="19">
    <w:name w:val="Body Text Indent 2"/>
    <w:basedOn w:val="1"/>
    <w:qFormat/>
    <w:uiPriority w:val="0"/>
    <w:pPr>
      <w:spacing w:line="360" w:lineRule="auto"/>
      <w:ind w:firstLine="720"/>
    </w:pPr>
    <w:rPr>
      <w:rFonts w:hint="eastAsia" w:ascii="宋体"/>
      <w:sz w:val="28"/>
      <w:szCs w:val="20"/>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3">
    <w:name w:val="toc 1"/>
    <w:basedOn w:val="1"/>
    <w:next w:val="1"/>
    <w:qFormat/>
    <w:uiPriority w:val="0"/>
    <w:pPr>
      <w:tabs>
        <w:tab w:val="right" w:leader="dot" w:pos="9017"/>
      </w:tabs>
      <w:ind w:right="-687" w:rightChars="-327"/>
    </w:pPr>
    <w:rPr>
      <w:color w:val="000080"/>
      <w:sz w:val="24"/>
    </w:rPr>
  </w:style>
  <w:style w:type="paragraph" w:styleId="24">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5">
    <w:name w:val="toc 2"/>
    <w:basedOn w:val="1"/>
    <w:next w:val="1"/>
    <w:qFormat/>
    <w:uiPriority w:val="0"/>
    <w:pPr>
      <w:tabs>
        <w:tab w:val="left" w:pos="900"/>
        <w:tab w:val="right" w:leader="dot" w:pos="9000"/>
      </w:tabs>
      <w:ind w:left="895" w:leftChars="426" w:firstLine="4" w:firstLineChars="2"/>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8">
    <w:name w:val="annotation subject"/>
    <w:basedOn w:val="13"/>
    <w:next w:val="13"/>
    <w:qFormat/>
    <w:uiPriority w:val="0"/>
    <w:rPr>
      <w:b/>
      <w:bCs/>
    </w:rPr>
  </w:style>
  <w:style w:type="character" w:styleId="31">
    <w:name w:val="Strong"/>
    <w:qFormat/>
    <w:uiPriority w:val="0"/>
    <w:rPr>
      <w:rFonts w:eastAsia="黑体"/>
      <w:b/>
      <w:bCs/>
      <w:sz w:val="44"/>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标题1"/>
    <w:basedOn w:val="30"/>
    <w:qFormat/>
    <w:uiPriority w:val="0"/>
  </w:style>
  <w:style w:type="paragraph" w:customStyle="1" w:styleId="37">
    <w:name w:val="条目"/>
    <w:basedOn w:val="1"/>
    <w:next w:val="6"/>
    <w:qFormat/>
    <w:uiPriority w:val="0"/>
    <w:pPr>
      <w:spacing w:before="156" w:beforeLines="50"/>
      <w:ind w:left="851" w:hanging="851"/>
      <w:outlineLvl w:val="3"/>
    </w:pPr>
    <w:rPr>
      <w:rFonts w:ascii="Garamond" w:hAnsi="Garamond" w:eastAsia="楷体_GB2312"/>
      <w:sz w:val="24"/>
    </w:rPr>
  </w:style>
  <w:style w:type="paragraph" w:customStyle="1" w:styleId="38">
    <w:name w:val="标题 3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39">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缩进 New New New New New"/>
    <w:basedOn w:val="1"/>
    <w:qFormat/>
    <w:uiPriority w:val="0"/>
    <w:pPr>
      <w:spacing w:line="500" w:lineRule="exact"/>
      <w:ind w:firstLine="540" w:firstLineChars="225"/>
    </w:pPr>
    <w:rPr>
      <w:sz w:val="24"/>
    </w:rPr>
  </w:style>
  <w:style w:type="paragraph" w:customStyle="1" w:styleId="47">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8">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9">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3">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节"/>
    <w:basedOn w:val="1"/>
    <w:next w:val="6"/>
    <w:qFormat/>
    <w:uiPriority w:val="0"/>
    <w:pPr>
      <w:tabs>
        <w:tab w:val="left" w:pos="567"/>
      </w:tabs>
      <w:spacing w:before="156" w:beforeLines="50" w:after="156" w:afterLines="50"/>
      <w:ind w:left="567" w:hanging="567"/>
      <w:jc w:val="center"/>
      <w:outlineLvl w:val="1"/>
    </w:pPr>
    <w:rPr>
      <w:b/>
      <w:sz w:val="30"/>
    </w:rPr>
  </w:style>
  <w:style w:type="paragraph" w:customStyle="1" w:styleId="5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文本缩进 New New New New"/>
    <w:basedOn w:val="1"/>
    <w:qFormat/>
    <w:uiPriority w:val="0"/>
    <w:pPr>
      <w:spacing w:line="500" w:lineRule="exact"/>
      <w:ind w:firstLine="540" w:firstLineChars="225"/>
    </w:pPr>
    <w:rPr>
      <w:sz w:val="24"/>
    </w:rPr>
  </w:style>
  <w:style w:type="paragraph" w:customStyle="1" w:styleId="58">
    <w:name w:val="页脚 New New New New New New New"/>
    <w:basedOn w:val="1"/>
    <w:qFormat/>
    <w:uiPriority w:val="0"/>
    <w:pPr>
      <w:tabs>
        <w:tab w:val="center" w:pos="4153"/>
        <w:tab w:val="right" w:pos="8306"/>
      </w:tabs>
      <w:snapToGrid w:val="0"/>
      <w:jc w:val="left"/>
    </w:pPr>
    <w:rPr>
      <w:sz w:val="18"/>
      <w:szCs w:val="18"/>
    </w:rPr>
  </w:style>
  <w:style w:type="paragraph" w:customStyle="1" w:styleId="59">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0">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1">
    <w:name w:val="正文文本缩进 New New New"/>
    <w:basedOn w:val="62"/>
    <w:qFormat/>
    <w:uiPriority w:val="0"/>
    <w:pPr>
      <w:spacing w:line="500" w:lineRule="exact"/>
      <w:ind w:firstLine="540" w:firstLineChars="225"/>
    </w:pPr>
    <w:rPr>
      <w:sz w:val="24"/>
    </w:rPr>
  </w:style>
  <w:style w:type="paragraph" w:customStyle="1" w:styleId="6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9">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页脚 New New New New New New New New"/>
    <w:basedOn w:val="72"/>
    <w:qFormat/>
    <w:uiPriority w:val="0"/>
    <w:pPr>
      <w:tabs>
        <w:tab w:val="center" w:pos="4153"/>
        <w:tab w:val="right" w:pos="8306"/>
      </w:tabs>
      <w:snapToGrid w:val="0"/>
      <w:jc w:val="left"/>
    </w:pPr>
    <w:rPr>
      <w:sz w:val="18"/>
      <w:szCs w:val="18"/>
    </w:rPr>
  </w:style>
  <w:style w:type="paragraph" w:customStyle="1" w:styleId="7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4">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7">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New New New New New New New New New New New New New New New New"/>
    <w:basedOn w:val="51"/>
    <w:qFormat/>
    <w:uiPriority w:val="0"/>
    <w:pPr>
      <w:tabs>
        <w:tab w:val="center" w:pos="4153"/>
        <w:tab w:val="right" w:pos="8306"/>
      </w:tabs>
      <w:snapToGrid w:val="0"/>
      <w:jc w:val="left"/>
    </w:pPr>
    <w:rPr>
      <w:sz w:val="18"/>
      <w:szCs w:val="18"/>
    </w:rPr>
  </w:style>
  <w:style w:type="paragraph" w:customStyle="1" w:styleId="85">
    <w:name w:val="正文文本缩进 New New New New New New New New"/>
    <w:basedOn w:val="1"/>
    <w:qFormat/>
    <w:uiPriority w:val="0"/>
    <w:pPr>
      <w:spacing w:line="500" w:lineRule="exact"/>
      <w:ind w:firstLine="540" w:firstLineChars="225"/>
    </w:pPr>
    <w:rPr>
      <w:sz w:val="24"/>
    </w:rPr>
  </w:style>
  <w:style w:type="paragraph" w:customStyle="1" w:styleId="8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9">
    <w:name w:val="页脚 New New New New New New New New New New New New New New New New"/>
    <w:basedOn w:val="66"/>
    <w:qFormat/>
    <w:uiPriority w:val="0"/>
    <w:pPr>
      <w:tabs>
        <w:tab w:val="center" w:pos="4153"/>
        <w:tab w:val="right" w:pos="8306"/>
      </w:tabs>
      <w:snapToGrid w:val="0"/>
      <w:jc w:val="left"/>
    </w:pPr>
    <w:rPr>
      <w:sz w:val="18"/>
      <w:szCs w:val="18"/>
    </w:rPr>
  </w:style>
  <w:style w:type="paragraph" w:customStyle="1" w:styleId="90">
    <w:name w:val="页脚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章"/>
    <w:basedOn w:val="3"/>
    <w:next w:val="6"/>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w:basedOn w:val="67"/>
    <w:qFormat/>
    <w:uiPriority w:val="0"/>
    <w:pPr>
      <w:tabs>
        <w:tab w:val="center" w:pos="4153"/>
        <w:tab w:val="right" w:pos="8306"/>
      </w:tabs>
      <w:snapToGrid w:val="0"/>
      <w:jc w:val="left"/>
    </w:pPr>
    <w:rPr>
      <w:sz w:val="18"/>
      <w:szCs w:val="18"/>
    </w:rPr>
  </w:style>
  <w:style w:type="paragraph" w:customStyle="1" w:styleId="95">
    <w:name w:val="页脚 New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9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Char Char Char Char"/>
    <w:basedOn w:val="83"/>
    <w:qFormat/>
    <w:uiPriority w:val="0"/>
    <w:pPr>
      <w:widowControl/>
      <w:spacing w:line="400" w:lineRule="exact"/>
      <w:jc w:val="center"/>
    </w:pPr>
  </w:style>
  <w:style w:type="paragraph" w:customStyle="1" w:styleId="9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页脚 New New New New New New New New New New New New"/>
    <w:basedOn w:val="102"/>
    <w:qFormat/>
    <w:uiPriority w:val="0"/>
    <w:pPr>
      <w:tabs>
        <w:tab w:val="center" w:pos="4153"/>
        <w:tab w:val="right" w:pos="8306"/>
      </w:tabs>
      <w:snapToGrid w:val="0"/>
      <w:jc w:val="left"/>
    </w:pPr>
    <w:rPr>
      <w:sz w:val="18"/>
      <w:szCs w:val="18"/>
    </w:rPr>
  </w:style>
  <w:style w:type="paragraph" w:customStyle="1" w:styleId="10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5">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6">
    <w:name w:val="页脚 New New New New New New New New New New New New New New New New New New New New New New New New"/>
    <w:basedOn w:val="87"/>
    <w:qFormat/>
    <w:uiPriority w:val="0"/>
    <w:pPr>
      <w:tabs>
        <w:tab w:val="center" w:pos="4153"/>
        <w:tab w:val="right" w:pos="8306"/>
      </w:tabs>
      <w:snapToGrid w:val="0"/>
      <w:jc w:val="left"/>
    </w:pPr>
    <w:rPr>
      <w:sz w:val="18"/>
      <w:szCs w:val="18"/>
    </w:rPr>
  </w:style>
  <w:style w:type="paragraph" w:customStyle="1" w:styleId="107">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08">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09">
    <w:name w:val="页脚 New New"/>
    <w:basedOn w:val="56"/>
    <w:qFormat/>
    <w:uiPriority w:val="0"/>
    <w:pPr>
      <w:tabs>
        <w:tab w:val="center" w:pos="4153"/>
        <w:tab w:val="right" w:pos="8306"/>
      </w:tabs>
      <w:snapToGrid w:val="0"/>
      <w:jc w:val="left"/>
    </w:pPr>
    <w:rPr>
      <w:sz w:val="18"/>
      <w:szCs w:val="18"/>
    </w:rPr>
  </w:style>
  <w:style w:type="paragraph" w:customStyle="1" w:styleId="110">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页脚 New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113">
    <w:name w:val="页脚 New New New"/>
    <w:basedOn w:val="114"/>
    <w:qFormat/>
    <w:uiPriority w:val="0"/>
    <w:pPr>
      <w:tabs>
        <w:tab w:val="center" w:pos="4153"/>
        <w:tab w:val="right" w:pos="8306"/>
      </w:tabs>
      <w:snapToGrid w:val="0"/>
      <w:jc w:val="left"/>
    </w:pPr>
    <w:rPr>
      <w:sz w:val="18"/>
      <w:szCs w:val="18"/>
    </w:rPr>
  </w:style>
  <w:style w:type="paragraph" w:customStyle="1" w:styleId="114">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6">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7">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18">
    <w:name w:val="页脚 New New New New"/>
    <w:basedOn w:val="74"/>
    <w:qFormat/>
    <w:uiPriority w:val="0"/>
    <w:pPr>
      <w:tabs>
        <w:tab w:val="center" w:pos="4153"/>
        <w:tab w:val="right" w:pos="8306"/>
      </w:tabs>
      <w:snapToGrid w:val="0"/>
      <w:jc w:val="left"/>
    </w:pPr>
    <w:rPr>
      <w:sz w:val="18"/>
      <w:szCs w:val="18"/>
    </w:rPr>
  </w:style>
  <w:style w:type="paragraph" w:customStyle="1" w:styleId="119">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0">
    <w:name w:val="页脚 New New New New New New New New New New New New New New"/>
    <w:basedOn w:val="121"/>
    <w:qFormat/>
    <w:uiPriority w:val="0"/>
    <w:pPr>
      <w:tabs>
        <w:tab w:val="center" w:pos="4153"/>
        <w:tab w:val="right" w:pos="8306"/>
      </w:tabs>
      <w:snapToGrid w:val="0"/>
      <w:jc w:val="left"/>
    </w:pPr>
    <w:rPr>
      <w:sz w:val="18"/>
      <w:szCs w:val="18"/>
    </w:rPr>
  </w:style>
  <w:style w:type="paragraph" w:customStyle="1" w:styleId="12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7">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
    <w:name w:val="页脚 New New New New New"/>
    <w:basedOn w:val="127"/>
    <w:qFormat/>
    <w:uiPriority w:val="0"/>
    <w:pPr>
      <w:tabs>
        <w:tab w:val="center" w:pos="4153"/>
        <w:tab w:val="right" w:pos="8306"/>
      </w:tabs>
      <w:snapToGrid w:val="0"/>
      <w:jc w:val="left"/>
    </w:pPr>
    <w:rPr>
      <w:sz w:val="18"/>
      <w:szCs w:val="18"/>
    </w:rPr>
  </w:style>
  <w:style w:type="paragraph" w:customStyle="1" w:styleId="12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文本缩进 New New"/>
    <w:basedOn w:val="83"/>
    <w:qFormat/>
    <w:uiPriority w:val="0"/>
    <w:pPr>
      <w:spacing w:line="500" w:lineRule="exact"/>
      <w:ind w:firstLine="540" w:firstLineChars="225"/>
    </w:pPr>
    <w:rPr>
      <w:sz w:val="24"/>
    </w:rPr>
  </w:style>
  <w:style w:type="paragraph" w:customStyle="1" w:styleId="131">
    <w:name w:val="表正文"/>
    <w:basedOn w:val="1"/>
    <w:next w:val="19"/>
    <w:qFormat/>
    <w:uiPriority w:val="0"/>
    <w:pPr>
      <w:spacing w:line="360" w:lineRule="auto"/>
      <w:ind w:left="480" w:hanging="480" w:hangingChars="200"/>
    </w:pPr>
    <w:rPr>
      <w:rFonts w:ascii="宋体" w:hAnsi="宋体"/>
      <w:sz w:val="24"/>
    </w:rPr>
  </w:style>
  <w:style w:type="paragraph" w:customStyle="1" w:styleId="132">
    <w:name w:val="正文文本缩进 New New New New New New"/>
    <w:basedOn w:val="1"/>
    <w:qFormat/>
    <w:uiPriority w:val="0"/>
    <w:pPr>
      <w:spacing w:line="500" w:lineRule="exact"/>
      <w:ind w:firstLine="540" w:firstLineChars="225"/>
    </w:pPr>
    <w:rPr>
      <w:sz w:val="24"/>
    </w:rPr>
  </w:style>
  <w:style w:type="paragraph" w:customStyle="1" w:styleId="133">
    <w:name w:val="页脚 New New New New New New New New New New New New New New New New New New New New New New"/>
    <w:basedOn w:val="134"/>
    <w:qFormat/>
    <w:uiPriority w:val="0"/>
    <w:pPr>
      <w:tabs>
        <w:tab w:val="center" w:pos="4153"/>
        <w:tab w:val="right" w:pos="8306"/>
      </w:tabs>
      <w:snapToGrid w:val="0"/>
      <w:jc w:val="left"/>
    </w:pPr>
    <w:rPr>
      <w:sz w:val="18"/>
      <w:szCs w:val="18"/>
    </w:rPr>
  </w:style>
  <w:style w:type="paragraph" w:customStyle="1" w:styleId="134">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
    <w:name w:val="_Style 14"/>
    <w:basedOn w:val="1"/>
    <w:qFormat/>
    <w:uiPriority w:val="0"/>
    <w:pPr>
      <w:widowControl/>
      <w:spacing w:line="400" w:lineRule="exact"/>
      <w:jc w:val="center"/>
    </w:pPr>
  </w:style>
  <w:style w:type="paragraph" w:customStyle="1" w:styleId="13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小节"/>
    <w:basedOn w:val="1"/>
    <w:next w:val="6"/>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39">
    <w:name w:val="正文文本缩进 New New New New New New New"/>
    <w:basedOn w:val="1"/>
    <w:qFormat/>
    <w:uiPriority w:val="0"/>
    <w:pPr>
      <w:spacing w:line="500" w:lineRule="exact"/>
      <w:ind w:firstLine="540" w:firstLineChars="225"/>
    </w:pPr>
    <w:rPr>
      <w:sz w:val="24"/>
    </w:rPr>
  </w:style>
  <w:style w:type="paragraph" w:customStyle="1" w:styleId="14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3">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4">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页脚 New New New New New New New New New New"/>
    <w:basedOn w:val="144"/>
    <w:qFormat/>
    <w:uiPriority w:val="0"/>
    <w:pPr>
      <w:tabs>
        <w:tab w:val="center" w:pos="4153"/>
        <w:tab w:val="right" w:pos="8306"/>
      </w:tabs>
      <w:snapToGrid w:val="0"/>
      <w:jc w:val="left"/>
    </w:pPr>
    <w:rPr>
      <w:sz w:val="18"/>
      <w:szCs w:val="18"/>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har"/>
    <w:basedOn w:val="12"/>
    <w:qFormat/>
    <w:uiPriority w:val="0"/>
    <w:rPr>
      <w:rFonts w:ascii="Tahoma" w:hAnsi="Tahoma"/>
      <w:sz w:val="24"/>
      <w:szCs w:val="21"/>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文本缩进 New"/>
    <w:basedOn w:val="83"/>
    <w:qFormat/>
    <w:uiPriority w:val="0"/>
    <w:pPr>
      <w:spacing w:line="500" w:lineRule="exact"/>
      <w:ind w:firstLine="540" w:firstLineChars="225"/>
    </w:pPr>
    <w:rPr>
      <w:sz w:val="24"/>
    </w:rPr>
  </w:style>
  <w:style w:type="paragraph" w:customStyle="1" w:styleId="150">
    <w:name w:val="页脚 New New New New New New New New New New New New New New New New New New New New New New New New New New New"/>
    <w:basedOn w:val="40"/>
    <w:qFormat/>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3">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4">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5">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文本缩进 2 New"/>
    <w:basedOn w:val="83"/>
    <w:qFormat/>
    <w:uiPriority w:val="0"/>
    <w:pPr>
      <w:spacing w:line="500" w:lineRule="exact"/>
      <w:ind w:firstLine="720" w:firstLineChars="300"/>
    </w:pPr>
    <w:rPr>
      <w:sz w:val="24"/>
    </w:rPr>
  </w:style>
  <w:style w:type="paragraph" w:customStyle="1" w:styleId="158">
    <w:name w:val="页脚 New New New New New New New New New New New New New New New New New New New New New New New"/>
    <w:basedOn w:val="77"/>
    <w:qFormat/>
    <w:uiPriority w:val="0"/>
    <w:pPr>
      <w:tabs>
        <w:tab w:val="center" w:pos="4153"/>
        <w:tab w:val="right" w:pos="8306"/>
      </w:tabs>
      <w:snapToGrid w:val="0"/>
      <w:jc w:val="left"/>
    </w:pPr>
    <w:rPr>
      <w:sz w:val="18"/>
      <w:szCs w:val="18"/>
    </w:rPr>
  </w:style>
  <w:style w:type="paragraph" w:customStyle="1" w:styleId="159">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0">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4">
    <w:name w:val="页脚 New New New New New New New New New New New New New New New New New"/>
    <w:basedOn w:val="98"/>
    <w:qFormat/>
    <w:uiPriority w:val="0"/>
    <w:pPr>
      <w:tabs>
        <w:tab w:val="center" w:pos="4153"/>
        <w:tab w:val="right" w:pos="8306"/>
      </w:tabs>
      <w:snapToGrid w:val="0"/>
      <w:jc w:val="left"/>
    </w:pPr>
    <w:rPr>
      <w:sz w:val="18"/>
      <w:szCs w:val="18"/>
    </w:rPr>
  </w:style>
  <w:style w:type="paragraph" w:customStyle="1" w:styleId="16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页脚 New New New New New New"/>
    <w:basedOn w:val="80"/>
    <w:qFormat/>
    <w:uiPriority w:val="0"/>
    <w:pPr>
      <w:tabs>
        <w:tab w:val="center" w:pos="4153"/>
        <w:tab w:val="right" w:pos="8306"/>
      </w:tabs>
      <w:snapToGrid w:val="0"/>
      <w:jc w:val="left"/>
    </w:pPr>
    <w:rPr>
      <w:sz w:val="18"/>
      <w:szCs w:val="18"/>
    </w:rPr>
  </w:style>
  <w:style w:type="paragraph" w:customStyle="1" w:styleId="169">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0">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1">
    <w:name w:val="页脚 New"/>
    <w:basedOn w:val="141"/>
    <w:qFormat/>
    <w:uiPriority w:val="0"/>
    <w:pPr>
      <w:tabs>
        <w:tab w:val="center" w:pos="4153"/>
        <w:tab w:val="right" w:pos="8306"/>
      </w:tabs>
      <w:snapToGrid w:val="0"/>
      <w:jc w:val="left"/>
    </w:pPr>
    <w:rPr>
      <w:sz w:val="18"/>
      <w:szCs w:val="18"/>
    </w:rPr>
  </w:style>
  <w:style w:type="paragraph" w:customStyle="1" w:styleId="172">
    <w:name w:val="页脚 New New New New New New New New New New New New New"/>
    <w:basedOn w:val="63"/>
    <w:qFormat/>
    <w:uiPriority w:val="0"/>
    <w:pPr>
      <w:tabs>
        <w:tab w:val="center" w:pos="4153"/>
        <w:tab w:val="right" w:pos="8306"/>
      </w:tabs>
      <w:snapToGrid w:val="0"/>
      <w:jc w:val="left"/>
    </w:pPr>
    <w:rPr>
      <w:sz w:val="18"/>
      <w:szCs w:val="18"/>
    </w:rPr>
  </w:style>
  <w:style w:type="paragraph" w:customStyle="1" w:styleId="173">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7">
    <w:name w:val="页脚 New New New New New New New New New New New New New New New New New New New New New New New New New"/>
    <w:basedOn w:val="103"/>
    <w:qFormat/>
    <w:uiPriority w:val="0"/>
    <w:pPr>
      <w:tabs>
        <w:tab w:val="center" w:pos="4153"/>
        <w:tab w:val="right" w:pos="8306"/>
      </w:tabs>
      <w:snapToGrid w:val="0"/>
      <w:jc w:val="left"/>
    </w:pPr>
    <w:rPr>
      <w:sz w:val="18"/>
      <w:szCs w:val="18"/>
    </w:rPr>
  </w:style>
  <w:style w:type="paragraph" w:customStyle="1" w:styleId="178">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1">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2">
    <w:name w:val="正文1213"/>
    <w:basedOn w:val="1"/>
    <w:qFormat/>
    <w:uiPriority w:val="0"/>
    <w:pPr>
      <w:spacing w:before="100" w:beforeAutospacing="1" w:after="100" w:afterAutospacing="1" w:line="480" w:lineRule="atLeast"/>
      <w:ind w:firstLine="287" w:firstLineChars="287"/>
    </w:pPr>
    <w:rPr>
      <w:rFonts w:ascii="宋体" w:hAnsi="宋体" w:cs="宋体"/>
      <w:sz w:val="24"/>
      <w:szCs w:val="22"/>
    </w:rPr>
  </w:style>
  <w:style w:type="paragraph" w:customStyle="1" w:styleId="183">
    <w:name w:val="表格文字"/>
    <w:basedOn w:val="1"/>
    <w:next w:val="14"/>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7957</Words>
  <Characters>8248</Characters>
  <Lines>74</Lines>
  <Paragraphs>20</Paragraphs>
  <TotalTime>25</TotalTime>
  <ScaleCrop>false</ScaleCrop>
  <LinksUpToDate>false</LinksUpToDate>
  <CharactersWithSpaces>9630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2017-02-15T07:06:00Z</dcterms:created>
  <dc:creator>深圳市招标中心</dc:creator>
  <cp:lastModifiedBy>x.</cp:lastModifiedBy>
  <cp:lastPrinted>2023-04-11T06:49:27Z</cp:lastPrinted>
  <dcterms:modified xsi:type="dcterms:W3CDTF">2023-04-11T06:50:35Z</dcterms:modified>
  <dc:title>佛山市政府办公网一期</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413CA5194C0C43579A0EAF08CD44C9E5</vt:lpwstr>
  </property>
</Properties>
</file>