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60" w:lineRule="auto"/>
        <w:ind w:left="1606" w:hanging="1606" w:hangingChars="500"/>
        <w:rPr>
          <w:rFonts w:ascii="黑体" w:hAnsi="宋体" w:eastAsia="黑体"/>
          <w:b/>
          <w:color w:val="000000"/>
          <w:sz w:val="32"/>
          <w:szCs w:val="32"/>
        </w:rPr>
      </w:pPr>
      <w:r>
        <w:rPr>
          <w:rFonts w:hint="eastAsia" w:ascii="黑体" w:hAnsi="宋体" w:eastAsia="黑体"/>
          <w:b/>
          <w:color w:val="000000"/>
          <w:sz w:val="32"/>
          <w:szCs w:val="32"/>
        </w:rPr>
        <w:t>项目名称：顺德</w:t>
      </w:r>
      <w:bookmarkStart w:id="228" w:name="_GoBack"/>
      <w:bookmarkEnd w:id="228"/>
      <w:r>
        <w:rPr>
          <w:rFonts w:hint="eastAsia" w:ascii="黑体" w:hAnsi="宋体" w:eastAsia="黑体"/>
          <w:b/>
          <w:color w:val="000000"/>
          <w:sz w:val="32"/>
          <w:szCs w:val="32"/>
        </w:rPr>
        <w:t>检测院实验室用气与标准气体采购</w:t>
      </w:r>
      <w:r>
        <w:rPr>
          <w:rFonts w:hint="eastAsia" w:ascii="黑体" w:hAnsi="宋体" w:eastAsia="黑体"/>
          <w:b/>
          <w:color w:val="000000"/>
          <w:sz w:val="32"/>
          <w:szCs w:val="32"/>
          <w:lang w:eastAsia="zh-CN"/>
        </w:rPr>
        <w:t>（</w:t>
      </w:r>
      <w:r>
        <w:rPr>
          <w:rFonts w:hint="eastAsia" w:ascii="黑体" w:hAnsi="宋体" w:eastAsia="黑体"/>
          <w:b/>
          <w:color w:val="000000"/>
          <w:sz w:val="32"/>
          <w:szCs w:val="32"/>
          <w:lang w:val="en-US" w:eastAsia="zh-CN"/>
        </w:rPr>
        <w:t>二次</w:t>
      </w:r>
      <w:r>
        <w:rPr>
          <w:rFonts w:hint="eastAsia" w:ascii="黑体" w:hAnsi="宋体" w:eastAsia="黑体"/>
          <w:b/>
          <w:color w:val="000000"/>
          <w:sz w:val="32"/>
          <w:szCs w:val="32"/>
          <w:lang w:eastAsia="zh-CN"/>
        </w:rPr>
        <w:t>）</w:t>
      </w:r>
      <w:r>
        <w:rPr>
          <w:rFonts w:hint="eastAsia" w:ascii="黑体" w:hAnsi="宋体" w:eastAsia="黑体"/>
          <w:b/>
          <w:color w:val="000000"/>
          <w:sz w:val="32"/>
          <w:szCs w:val="32"/>
        </w:rPr>
        <w:t xml:space="preserve"> </w:t>
      </w:r>
    </w:p>
    <w:p>
      <w:pPr>
        <w:spacing w:line="360" w:lineRule="auto"/>
        <w:ind w:left="1767" w:hanging="1767" w:hangingChars="550"/>
        <w:rPr>
          <w:rFonts w:ascii="黑体" w:hAnsi="宋体" w:eastAsia="黑体"/>
          <w:b/>
          <w:color w:val="000000"/>
          <w:sz w:val="32"/>
          <w:szCs w:val="32"/>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JY202</w:t>
      </w:r>
      <w:r>
        <w:rPr>
          <w:rFonts w:hint="eastAsia" w:ascii="黑体" w:hAnsi="宋体" w:eastAsia="黑体"/>
          <w:b/>
          <w:color w:val="000000"/>
          <w:sz w:val="32"/>
          <w:szCs w:val="32"/>
        </w:rPr>
        <w:t>3</w:t>
      </w:r>
      <w:r>
        <w:rPr>
          <w:rFonts w:ascii="黑体" w:hAnsi="宋体" w:eastAsia="黑体"/>
          <w:b/>
          <w:color w:val="000000"/>
          <w:sz w:val="32"/>
          <w:szCs w:val="32"/>
        </w:rPr>
        <w:t>00</w:t>
      </w:r>
      <w:r>
        <w:rPr>
          <w:rFonts w:hint="eastAsia" w:ascii="黑体" w:hAnsi="宋体" w:eastAsia="黑体"/>
          <w:b/>
          <w:color w:val="000000"/>
          <w:sz w:val="32"/>
          <w:szCs w:val="32"/>
        </w:rPr>
        <w:t>8</w:t>
      </w:r>
    </w:p>
    <w:p>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pPr>
        <w:spacing w:line="360" w:lineRule="auto"/>
        <w:ind w:left="1767" w:hanging="1767" w:hangingChars="550"/>
        <w:rPr>
          <w:rFonts w:ascii="黑体" w:hAnsi="宋体" w:eastAsia="黑体"/>
          <w:b/>
          <w:color w:val="000000"/>
          <w:sz w:val="32"/>
          <w:szCs w:val="32"/>
        </w:rPr>
      </w:pPr>
    </w:p>
    <w:p>
      <w:pPr>
        <w:spacing w:line="360" w:lineRule="auto"/>
        <w:ind w:left="1767" w:hanging="1767" w:hangingChars="550"/>
        <w:rPr>
          <w:rFonts w:ascii="黑体" w:hAnsi="宋体" w:eastAsia="黑体"/>
          <w:b/>
          <w:color w:val="000000"/>
          <w:sz w:val="32"/>
          <w:szCs w:val="32"/>
        </w:rPr>
      </w:pPr>
    </w:p>
    <w:p>
      <w:pPr>
        <w:spacing w:line="360" w:lineRule="auto"/>
        <w:ind w:left="1446" w:hanging="1446" w:hangingChars="400"/>
        <w:rPr>
          <w:rFonts w:ascii="黑体" w:hAnsi="宋体" w:eastAsia="黑体"/>
          <w:b/>
          <w:color w:val="000000"/>
          <w:sz w:val="36"/>
          <w:szCs w:val="36"/>
        </w:rPr>
      </w:pPr>
    </w:p>
    <w:p>
      <w:pPr>
        <w:spacing w:line="312" w:lineRule="auto"/>
        <w:rPr>
          <w:rFonts w:ascii="黑体" w:hAnsi="宋体" w:eastAsia="黑体"/>
          <w:b/>
          <w:color w:val="000000"/>
          <w:sz w:val="32"/>
          <w:szCs w:val="32"/>
          <w:u w:val="single"/>
        </w:rPr>
      </w:pPr>
    </w:p>
    <w:p>
      <w:pPr>
        <w:spacing w:line="312" w:lineRule="auto"/>
        <w:rPr>
          <w:rFonts w:ascii="黑体" w:hAnsi="宋体" w:eastAsia="黑体"/>
          <w:b/>
          <w:color w:val="000000"/>
          <w:sz w:val="32"/>
          <w:szCs w:val="32"/>
        </w:rPr>
      </w:pPr>
    </w:p>
    <w:p>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pPr>
        <w:spacing w:line="312" w:lineRule="auto"/>
        <w:jc w:val="center"/>
        <w:rPr>
          <w:rFonts w:ascii="黑体" w:hAnsi="宋体" w:eastAsia="黑体"/>
          <w:b/>
          <w:color w:val="000000"/>
          <w:sz w:val="32"/>
          <w:szCs w:val="32"/>
          <w:highlight w:val="none"/>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000000"/>
          <w:sz w:val="32"/>
          <w:szCs w:val="32"/>
          <w:highlight w:val="none"/>
        </w:rPr>
        <w:t>二〇二三年</w:t>
      </w:r>
      <w:r>
        <w:rPr>
          <w:rFonts w:hint="eastAsia" w:ascii="黑体" w:hAnsi="宋体" w:eastAsia="黑体"/>
          <w:b/>
          <w:color w:val="000000"/>
          <w:sz w:val="32"/>
          <w:szCs w:val="32"/>
          <w:highlight w:val="none"/>
          <w:lang w:val="en-US" w:eastAsia="zh-CN"/>
        </w:rPr>
        <w:t>七</w:t>
      </w:r>
      <w:r>
        <w:rPr>
          <w:rFonts w:hint="eastAsia" w:ascii="黑体" w:hAnsi="宋体" w:eastAsia="黑体"/>
          <w:b/>
          <w:color w:val="000000"/>
          <w:sz w:val="32"/>
          <w:szCs w:val="32"/>
          <w:highlight w:val="none"/>
        </w:rPr>
        <w:t>月</w:t>
      </w:r>
    </w:p>
    <w:p>
      <w:pPr>
        <w:spacing w:line="312" w:lineRule="auto"/>
        <w:jc w:val="center"/>
        <w:rPr>
          <w:rFonts w:ascii="黑体" w:hAnsi="宋体" w:eastAsia="黑体"/>
          <w:b/>
          <w:color w:val="000000"/>
          <w:sz w:val="32"/>
          <w:szCs w:val="32"/>
        </w:rPr>
      </w:pPr>
    </w:p>
    <w:p>
      <w:pPr>
        <w:spacing w:line="360" w:lineRule="auto"/>
        <w:jc w:val="center"/>
        <w:rPr>
          <w:rStyle w:val="32"/>
          <w:rFonts w:ascii="宋体" w:hAnsi="宋体" w:eastAsia="宋体"/>
          <w:color w:val="000000"/>
        </w:rPr>
      </w:pPr>
      <w:r>
        <w:rPr>
          <w:rStyle w:val="32"/>
          <w:rFonts w:hint="eastAsia" w:ascii="宋体" w:hAnsi="宋体" w:eastAsia="宋体"/>
          <w:color w:val="000000"/>
        </w:rPr>
        <w:t>目   录</w:t>
      </w:r>
    </w:p>
    <w:p>
      <w:pPr>
        <w:spacing w:line="360" w:lineRule="auto"/>
        <w:rPr>
          <w:rFonts w:ascii="宋体" w:hAnsi="宋体"/>
          <w:color w:val="000000"/>
        </w:rPr>
      </w:pPr>
    </w:p>
    <w:p>
      <w:pPr>
        <w:pStyle w:val="24"/>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_Toc4449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_Toc4449 \h </w:instrText>
      </w:r>
      <w:r>
        <w:fldChar w:fldCharType="separate"/>
      </w:r>
      <w:r>
        <w:t>2</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_Toc7384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_Toc7384 \h </w:instrText>
      </w:r>
      <w:r>
        <w:fldChar w:fldCharType="separate"/>
      </w:r>
      <w:r>
        <w:t>8</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_Toc8305 </w:instrText>
      </w:r>
      <w:r>
        <w:rPr>
          <w:rFonts w:ascii="宋体" w:hAnsi="宋体"/>
        </w:rPr>
        <w:fldChar w:fldCharType="separate"/>
      </w:r>
      <w:r>
        <w:rPr>
          <w:rFonts w:hint="eastAsia" w:ascii="宋体" w:hAnsi="宋体"/>
        </w:rPr>
        <w:t>一、说明</w:t>
      </w:r>
      <w:r>
        <w:tab/>
      </w:r>
      <w:r>
        <w:fldChar w:fldCharType="begin"/>
      </w:r>
      <w:r>
        <w:instrText xml:space="preserve"> PAGEREF _Toc8305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_Toc25175 </w:instrText>
      </w:r>
      <w:r>
        <w:rPr>
          <w:rFonts w:ascii="宋体" w:hAnsi="宋体"/>
        </w:rPr>
        <w:fldChar w:fldCharType="separate"/>
      </w:r>
      <w:r>
        <w:rPr>
          <w:rFonts w:hint="eastAsia" w:ascii="宋体" w:hAnsi="宋体"/>
          <w:szCs w:val="24"/>
        </w:rPr>
        <w:t>二、本竞价文件的构成</w:t>
      </w:r>
      <w:r>
        <w:tab/>
      </w:r>
      <w:r>
        <w:fldChar w:fldCharType="begin"/>
      </w:r>
      <w:r>
        <w:instrText xml:space="preserve"> PAGEREF _Toc25175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_Toc14979 </w:instrText>
      </w:r>
      <w:r>
        <w:rPr>
          <w:rFonts w:ascii="宋体" w:hAnsi="宋体"/>
        </w:rPr>
        <w:fldChar w:fldCharType="separate"/>
      </w:r>
      <w:r>
        <w:rPr>
          <w:rFonts w:hint="eastAsia" w:ascii="宋体" w:hAnsi="宋体"/>
          <w:szCs w:val="24"/>
        </w:rPr>
        <w:t>三、竞价文件的修改</w:t>
      </w:r>
      <w:r>
        <w:tab/>
      </w:r>
      <w:r>
        <w:fldChar w:fldCharType="begin"/>
      </w:r>
      <w:r>
        <w:instrText xml:space="preserve"> PAGEREF _Toc14979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_Toc3218 </w:instrText>
      </w:r>
      <w:r>
        <w:rPr>
          <w:rFonts w:ascii="宋体" w:hAnsi="宋体"/>
        </w:rPr>
        <w:fldChar w:fldCharType="separate"/>
      </w:r>
      <w:r>
        <w:rPr>
          <w:rFonts w:hint="eastAsia" w:ascii="宋体" w:hAnsi="宋体"/>
          <w:szCs w:val="24"/>
        </w:rPr>
        <w:t>四、竞投资格</w:t>
      </w:r>
      <w:r>
        <w:tab/>
      </w:r>
      <w:r>
        <w:fldChar w:fldCharType="begin"/>
      </w:r>
      <w:r>
        <w:instrText xml:space="preserve"> PAGEREF _Toc3218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_Toc10784 </w:instrText>
      </w:r>
      <w:r>
        <w:rPr>
          <w:rFonts w:ascii="宋体" w:hAnsi="宋体"/>
        </w:rPr>
        <w:fldChar w:fldCharType="separate"/>
      </w:r>
      <w:r>
        <w:rPr>
          <w:rFonts w:hint="eastAsia" w:ascii="宋体" w:hAnsi="宋体"/>
          <w:szCs w:val="24"/>
        </w:rPr>
        <w:t>五、交易保证金</w:t>
      </w:r>
      <w:r>
        <w:tab/>
      </w:r>
      <w:r>
        <w:fldChar w:fldCharType="begin"/>
      </w:r>
      <w:r>
        <w:instrText xml:space="preserve"> PAGEREF _Toc10784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_Toc27640 </w:instrText>
      </w:r>
      <w:r>
        <w:rPr>
          <w:rFonts w:ascii="宋体" w:hAnsi="宋体"/>
        </w:rPr>
        <w:fldChar w:fldCharType="separate"/>
      </w:r>
      <w:r>
        <w:rPr>
          <w:rFonts w:hint="eastAsia" w:ascii="宋体" w:hAnsi="宋体"/>
          <w:szCs w:val="24"/>
        </w:rPr>
        <w:t>六、证明文件</w:t>
      </w:r>
      <w:r>
        <w:tab/>
      </w:r>
      <w:r>
        <w:fldChar w:fldCharType="begin"/>
      </w:r>
      <w:r>
        <w:instrText xml:space="preserve"> PAGEREF _Toc27640 \h </w:instrText>
      </w:r>
      <w:r>
        <w:fldChar w:fldCharType="separate"/>
      </w:r>
      <w:r>
        <w:t>10</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_Toc5592 </w:instrText>
      </w:r>
      <w:r>
        <w:rPr>
          <w:rFonts w:ascii="宋体" w:hAnsi="宋体"/>
        </w:rPr>
        <w:fldChar w:fldCharType="separate"/>
      </w:r>
      <w:r>
        <w:rPr>
          <w:rFonts w:hint="eastAsia" w:ascii="宋体" w:hAnsi="宋体"/>
          <w:szCs w:val="24"/>
        </w:rPr>
        <w:t>七、竞价方法及注意事项</w:t>
      </w:r>
      <w:r>
        <w:tab/>
      </w:r>
      <w:r>
        <w:fldChar w:fldCharType="begin"/>
      </w:r>
      <w:r>
        <w:instrText xml:space="preserve"> PAGEREF _Toc5592 \h </w:instrText>
      </w:r>
      <w:r>
        <w:fldChar w:fldCharType="separate"/>
      </w:r>
      <w:r>
        <w:t>10</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_Toc19763 </w:instrText>
      </w:r>
      <w:r>
        <w:rPr>
          <w:rFonts w:ascii="宋体" w:hAnsi="宋体"/>
        </w:rPr>
        <w:fldChar w:fldCharType="separate"/>
      </w:r>
      <w:r>
        <w:rPr>
          <w:rFonts w:hint="eastAsia" w:ascii="宋体" w:hAnsi="宋体"/>
          <w:szCs w:val="24"/>
        </w:rPr>
        <w:t>八、成交确认书</w:t>
      </w:r>
      <w:r>
        <w:tab/>
      </w:r>
      <w:r>
        <w:fldChar w:fldCharType="begin"/>
      </w:r>
      <w:r>
        <w:instrText xml:space="preserve"> PAGEREF _Toc19763 \h </w:instrText>
      </w:r>
      <w:r>
        <w:fldChar w:fldCharType="separate"/>
      </w:r>
      <w:r>
        <w:t>11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_Toc16033 </w:instrText>
      </w:r>
      <w:r>
        <w:rPr>
          <w:rFonts w:ascii="宋体" w:hAnsi="宋体"/>
        </w:rPr>
        <w:fldChar w:fldCharType="separate"/>
      </w:r>
      <w:r>
        <w:rPr>
          <w:rFonts w:hint="eastAsia" w:ascii="宋体" w:hAnsi="宋体"/>
          <w:szCs w:val="24"/>
        </w:rPr>
        <w:t>九、竞价结果公告</w:t>
      </w:r>
      <w:r>
        <w:tab/>
      </w:r>
      <w:r>
        <w:fldChar w:fldCharType="begin"/>
      </w:r>
      <w:r>
        <w:instrText xml:space="preserve"> PAGEREF _Toc16033 \h </w:instrText>
      </w:r>
      <w:r>
        <w:fldChar w:fldCharType="separate"/>
      </w:r>
      <w:r>
        <w:t>11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_Toc16520 </w:instrText>
      </w:r>
      <w:r>
        <w:rPr>
          <w:rFonts w:ascii="宋体" w:hAnsi="宋体"/>
        </w:rPr>
        <w:fldChar w:fldCharType="separate"/>
      </w:r>
      <w:r>
        <w:rPr>
          <w:rFonts w:hint="eastAsia" w:ascii="宋体" w:hAnsi="宋体"/>
          <w:szCs w:val="24"/>
        </w:rPr>
        <w:t>十、签订合同</w:t>
      </w:r>
      <w:r>
        <w:tab/>
      </w:r>
      <w:r>
        <w:fldChar w:fldCharType="begin"/>
      </w:r>
      <w:r>
        <w:instrText xml:space="preserve"> PAGEREF _Toc16520 \h </w:instrText>
      </w:r>
      <w:r>
        <w:fldChar w:fldCharType="separate"/>
      </w:r>
      <w:r>
        <w:t>11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_Toc8748 </w:instrText>
      </w:r>
      <w:r>
        <w:rPr>
          <w:rFonts w:ascii="宋体" w:hAnsi="宋体"/>
        </w:rPr>
        <w:fldChar w:fldCharType="separate"/>
      </w:r>
      <w:r>
        <w:rPr>
          <w:rFonts w:hint="eastAsia" w:ascii="宋体" w:hAnsi="宋体"/>
          <w:szCs w:val="24"/>
        </w:rPr>
        <w:t>十一、处罚机制</w:t>
      </w:r>
      <w:r>
        <w:tab/>
      </w:r>
      <w:r>
        <w:fldChar w:fldCharType="begin"/>
      </w:r>
      <w:r>
        <w:instrText xml:space="preserve"> PAGEREF _Toc8748 \h </w:instrText>
      </w:r>
      <w:r>
        <w:fldChar w:fldCharType="separate"/>
      </w:r>
      <w:r>
        <w:t>12</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_Toc18784 </w:instrText>
      </w:r>
      <w:r>
        <w:rPr>
          <w:rFonts w:ascii="宋体" w:hAnsi="宋体"/>
        </w:rPr>
        <w:fldChar w:fldCharType="separate"/>
      </w:r>
      <w:r>
        <w:rPr>
          <w:rFonts w:hint="eastAsia" w:ascii="宋体" w:hAnsi="宋体"/>
          <w:szCs w:val="24"/>
        </w:rPr>
        <w:t>十二、其他注意事项</w:t>
      </w:r>
      <w:r>
        <w:tab/>
      </w:r>
      <w:r>
        <w:fldChar w:fldCharType="begin"/>
      </w:r>
      <w:r>
        <w:instrText xml:space="preserve"> PAGEREF _Toc18784 \h </w:instrText>
      </w:r>
      <w:r>
        <w:fldChar w:fldCharType="separate"/>
      </w:r>
      <w:r>
        <w:t>12</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_Toc10454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_Toc10454 \h </w:instrText>
      </w:r>
      <w:r>
        <w:fldChar w:fldCharType="separate"/>
      </w:r>
      <w:r>
        <w:t>13</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_Toc7922 </w:instrText>
      </w:r>
      <w:r>
        <w:rPr>
          <w:rFonts w:ascii="宋体" w:hAnsi="宋体"/>
        </w:rPr>
        <w:fldChar w:fldCharType="separate"/>
      </w:r>
      <w:r>
        <w:rPr>
          <w:rFonts w:hint="eastAsia" w:ascii="宋体" w:hAnsi="宋体"/>
          <w:szCs w:val="72"/>
        </w:rPr>
        <w:t>第四章 证明文件格式</w:t>
      </w:r>
      <w:r>
        <w:tab/>
      </w:r>
      <w:r>
        <w:fldChar w:fldCharType="begin"/>
      </w:r>
      <w:r>
        <w:instrText xml:space="preserve"> PAGEREF _Toc7922 \h </w:instrText>
      </w:r>
      <w:r>
        <w:fldChar w:fldCharType="separate"/>
      </w:r>
      <w:r>
        <w:t>16</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_Toc1049 </w:instrText>
      </w:r>
      <w:r>
        <w:rPr>
          <w:rFonts w:ascii="宋体" w:hAnsi="宋体"/>
        </w:rPr>
        <w:fldChar w:fldCharType="separate"/>
      </w:r>
      <w:r>
        <w:rPr>
          <w:rFonts w:hint="eastAsia"/>
          <w:szCs w:val="32"/>
        </w:rPr>
        <w:t>封面</w:t>
      </w:r>
      <w:r>
        <w:tab/>
      </w:r>
      <w:r>
        <w:fldChar w:fldCharType="begin"/>
      </w:r>
      <w:r>
        <w:instrText xml:space="preserve"> PAGEREF _Toc1049 \h </w:instrText>
      </w:r>
      <w:r>
        <w:fldChar w:fldCharType="separate"/>
      </w:r>
      <w:r>
        <w:t>17</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_Toc12131 </w:instrText>
      </w:r>
      <w:r>
        <w:rPr>
          <w:rFonts w:ascii="宋体" w:hAnsi="宋体"/>
        </w:rPr>
        <w:fldChar w:fldCharType="separate"/>
      </w:r>
      <w:r>
        <w:rPr>
          <w:rFonts w:hint="eastAsia" w:ascii="宋体" w:hAnsi="宋体"/>
        </w:rPr>
        <w:t>竞投人证明书</w:t>
      </w:r>
      <w:r>
        <w:tab/>
      </w:r>
      <w:r>
        <w:fldChar w:fldCharType="begin"/>
      </w:r>
      <w:r>
        <w:instrText xml:space="preserve"> PAGEREF _Toc12131 \h </w:instrText>
      </w:r>
      <w:r>
        <w:fldChar w:fldCharType="separate"/>
      </w:r>
      <w:r>
        <w:t>18</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_Toc18869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_Toc18869 \h </w:instrText>
      </w:r>
      <w:r>
        <w:fldChar w:fldCharType="separate"/>
      </w:r>
      <w:r>
        <w:t>19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_Toc24801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_Toc24801 \h </w:instrText>
      </w:r>
      <w:r>
        <w:fldChar w:fldCharType="separate"/>
      </w:r>
      <w:r>
        <w:t>20</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_Toc30947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_Toc30947 \h </w:instrText>
      </w:r>
      <w:r>
        <w:fldChar w:fldCharType="separate"/>
      </w:r>
      <w:r>
        <w:t>21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_Toc10363 </w:instrText>
      </w:r>
      <w:r>
        <w:rPr>
          <w:rFonts w:ascii="宋体" w:hAnsi="宋体"/>
        </w:rPr>
        <w:fldChar w:fldCharType="separate"/>
      </w:r>
      <w:r>
        <w:rPr>
          <w:rFonts w:hint="eastAsia"/>
          <w:highlight w:val="none"/>
        </w:rPr>
        <w:t>采购项目内容及需求响应声明函</w:t>
      </w:r>
      <w:r>
        <w:tab/>
      </w:r>
      <w:r>
        <w:fldChar w:fldCharType="begin"/>
      </w:r>
      <w:r>
        <w:instrText xml:space="preserve"> PAGEREF _Toc10363 \h </w:instrText>
      </w:r>
      <w:r>
        <w:fldChar w:fldCharType="separate"/>
      </w:r>
      <w:r>
        <w:t>22</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_Toc16971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_Toc16971 \h </w:instrText>
      </w:r>
      <w:r>
        <w:fldChar w:fldCharType="separate"/>
      </w:r>
      <w:r>
        <w:t>23</w:t>
      </w:r>
      <w:r>
        <w:fldChar w:fldCharType="end"/>
      </w:r>
      <w:r>
        <w:rPr>
          <w:rFonts w:ascii="宋体" w:hAnsi="宋体"/>
          <w:color w:val="000000"/>
        </w:rPr>
        <w:fldChar w:fldCharType="end"/>
      </w:r>
    </w:p>
    <w:p>
      <w:pPr>
        <w:pStyle w:val="26"/>
        <w:tabs>
          <w:tab w:val="right" w:leader="dot" w:pos="9639"/>
          <w:tab w:val="clear" w:pos="900"/>
          <w:tab w:val="clear" w:pos="9000"/>
        </w:tabs>
      </w:pPr>
      <w:r>
        <w:rPr>
          <w:rFonts w:ascii="宋体" w:hAnsi="宋体"/>
          <w:color w:val="000000"/>
        </w:rPr>
        <w:fldChar w:fldCharType="begin"/>
      </w:r>
      <w:r>
        <w:rPr>
          <w:rFonts w:ascii="宋体" w:hAnsi="宋体"/>
        </w:rPr>
        <w:instrText xml:space="preserve"> HYPERLINK \l _Toc3264 </w:instrText>
      </w:r>
      <w:r>
        <w:rPr>
          <w:rFonts w:ascii="宋体" w:hAnsi="宋体"/>
        </w:rPr>
        <w:fldChar w:fldCharType="separate"/>
      </w:r>
      <w:r>
        <w:rPr>
          <w:rFonts w:hint="eastAsia"/>
        </w:rPr>
        <w:t>报价表</w:t>
      </w:r>
      <w:r>
        <w:tab/>
      </w:r>
      <w:r>
        <w:fldChar w:fldCharType="begin"/>
      </w:r>
      <w:r>
        <w:instrText xml:space="preserve"> PAGEREF _Toc3264 \h </w:instrText>
      </w:r>
      <w:r>
        <w:fldChar w:fldCharType="separate"/>
      </w:r>
      <w:r>
        <w:t>23</w:t>
      </w:r>
      <w:r>
        <w:fldChar w:fldCharType="end"/>
      </w:r>
      <w:r>
        <w:rPr>
          <w:rFonts w:ascii="宋体" w:hAnsi="宋体"/>
          <w:color w:val="000000"/>
        </w:rPr>
        <w:fldChar w:fldCharType="end"/>
      </w:r>
    </w:p>
    <w:p>
      <w:pPr>
        <w:spacing w:line="360" w:lineRule="auto"/>
        <w:rPr>
          <w:rFonts w:ascii="宋体" w:hAnsi="宋体"/>
          <w:color w:val="000000"/>
          <w:sz w:val="24"/>
        </w:rPr>
      </w:pPr>
      <w:r>
        <w:rPr>
          <w:rFonts w:ascii="宋体" w:hAnsi="宋体"/>
          <w:color w:val="000000"/>
        </w:rPr>
        <w:fldChar w:fldCharType="end"/>
      </w:r>
    </w:p>
    <w:p>
      <w:pPr>
        <w:pStyle w:val="19"/>
        <w:jc w:val="center"/>
        <w:rPr>
          <w:color w:val="000000"/>
          <w:sz w:val="52"/>
        </w:rPr>
      </w:pPr>
      <w:r>
        <w:rPr>
          <w:color w:val="000000"/>
        </w:rPr>
        <w:br w:type="page"/>
      </w:r>
    </w:p>
    <w:p>
      <w:pPr>
        <w:pStyle w:val="4"/>
        <w:spacing w:line="360" w:lineRule="auto"/>
        <w:rPr>
          <w:rFonts w:ascii="宋体" w:hAnsi="宋体"/>
          <w:color w:val="000000"/>
          <w:sz w:val="72"/>
          <w:szCs w:val="72"/>
        </w:rPr>
      </w:pPr>
    </w:p>
    <w:p>
      <w:pPr>
        <w:rPr>
          <w:color w:val="000000"/>
        </w:rPr>
      </w:pPr>
    </w:p>
    <w:p>
      <w:pPr>
        <w:rPr>
          <w:color w:val="000000"/>
        </w:rPr>
      </w:pPr>
    </w:p>
    <w:p>
      <w:pPr>
        <w:rPr>
          <w:color w:val="000000"/>
        </w:rPr>
      </w:pPr>
    </w:p>
    <w:p>
      <w:pPr>
        <w:pStyle w:val="4"/>
        <w:spacing w:line="360" w:lineRule="auto"/>
        <w:jc w:val="center"/>
        <w:rPr>
          <w:rFonts w:ascii="宋体" w:hAnsi="宋体"/>
          <w:color w:val="000000"/>
          <w:sz w:val="72"/>
          <w:szCs w:val="72"/>
        </w:rPr>
      </w:pPr>
      <w:bookmarkStart w:id="1" w:name="_Toc4449"/>
      <w:bookmarkStart w:id="2" w:name="_Toc16930"/>
      <w:bookmarkStart w:id="3" w:name="_Toc8503"/>
      <w:bookmarkStart w:id="4" w:name="_Toc24720"/>
      <w:bookmarkStart w:id="5" w:name="_Toc10326"/>
      <w:bookmarkStart w:id="6" w:name="_Toc14917"/>
      <w:bookmarkStart w:id="7" w:name="_Toc22178"/>
      <w:bookmarkStart w:id="8" w:name="_Toc12382"/>
      <w:r>
        <w:rPr>
          <w:rFonts w:hint="eastAsia" w:ascii="宋体" w:hAnsi="宋体"/>
          <w:color w:val="000000"/>
          <w:sz w:val="72"/>
          <w:szCs w:val="72"/>
        </w:rPr>
        <w:t>第一章 竞价邀请函</w:t>
      </w:r>
      <w:bookmarkEnd w:id="1"/>
      <w:bookmarkEnd w:id="2"/>
      <w:bookmarkEnd w:id="3"/>
      <w:bookmarkEnd w:id="4"/>
      <w:bookmarkEnd w:id="5"/>
      <w:bookmarkEnd w:id="6"/>
      <w:bookmarkEnd w:id="7"/>
      <w:bookmarkEnd w:id="8"/>
    </w:p>
    <w:p>
      <w:pPr>
        <w:pStyle w:val="19"/>
        <w:rPr>
          <w:rFonts w:ascii="宋体" w:hAnsi="宋体"/>
          <w:color w:val="000000"/>
        </w:rPr>
      </w:pPr>
    </w:p>
    <w:p>
      <w:pPr>
        <w:pStyle w:val="7"/>
        <w:spacing w:before="0" w:after="0" w:line="360" w:lineRule="auto"/>
        <w:jc w:val="center"/>
        <w:rPr>
          <w:rStyle w:val="32"/>
          <w:rFonts w:eastAsia="宋体"/>
          <w:b/>
          <w:bCs w:val="0"/>
          <w:color w:val="000000"/>
          <w:sz w:val="28"/>
        </w:rPr>
      </w:pPr>
      <w:r>
        <w:rPr>
          <w:rFonts w:ascii="宋体" w:hAnsi="宋体" w:eastAsia="宋体"/>
          <w:color w:val="000000"/>
          <w:sz w:val="36"/>
        </w:rPr>
        <w:br w:type="page"/>
      </w:r>
      <w:r>
        <w:rPr>
          <w:rStyle w:val="32"/>
          <w:rFonts w:hint="eastAsia" w:eastAsia="宋体"/>
          <w:b/>
          <w:bCs w:val="0"/>
          <w:color w:val="000000"/>
          <w:sz w:val="28"/>
        </w:rPr>
        <w:t>第一章   竞价邀请函</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）对顺德检测院实验室用气与标准气体采购</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二次</w:t>
      </w:r>
      <w:r>
        <w:rPr>
          <w:rFonts w:hint="eastAsia" w:ascii="宋体" w:hAnsi="宋体" w:cs="宋体"/>
          <w:color w:val="000000"/>
          <w:kern w:val="0"/>
          <w:sz w:val="24"/>
          <w:lang w:eastAsia="zh-CN"/>
        </w:rPr>
        <w:t>）</w:t>
      </w:r>
      <w:r>
        <w:rPr>
          <w:rFonts w:hint="eastAsia" w:ascii="宋体" w:hAnsi="宋体" w:cs="宋体"/>
          <w:color w:val="000000"/>
          <w:kern w:val="0"/>
          <w:sz w:val="24"/>
        </w:rPr>
        <w:t>项目进行竞投，欢迎有意参加竞投的人士报名参与咨询和竞投。</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一、竞投项目编号：</w:t>
      </w:r>
      <w:r>
        <w:rPr>
          <w:rFonts w:ascii="宋体" w:hAnsi="宋体" w:cs="宋体"/>
          <w:color w:val="000000"/>
          <w:kern w:val="0"/>
          <w:sz w:val="24"/>
        </w:rPr>
        <w:t>SDTJY202</w:t>
      </w:r>
      <w:r>
        <w:rPr>
          <w:rFonts w:hint="eastAsia" w:ascii="宋体" w:hAnsi="宋体" w:cs="宋体"/>
          <w:color w:val="000000"/>
          <w:kern w:val="0"/>
          <w:sz w:val="24"/>
        </w:rPr>
        <w:t>3</w:t>
      </w:r>
      <w:r>
        <w:rPr>
          <w:rFonts w:ascii="宋体" w:hAnsi="宋体" w:cs="宋体"/>
          <w:color w:val="000000"/>
          <w:kern w:val="0"/>
          <w:sz w:val="24"/>
        </w:rPr>
        <w:t>00</w:t>
      </w:r>
      <w:r>
        <w:rPr>
          <w:rFonts w:hint="eastAsia" w:ascii="宋体" w:hAnsi="宋体" w:cs="宋体"/>
          <w:color w:val="000000"/>
          <w:kern w:val="0"/>
          <w:sz w:val="24"/>
        </w:rPr>
        <w:t>8</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二、项目名称：顺德检测院实验室用气与标准气体采购</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二次</w:t>
      </w:r>
      <w:r>
        <w:rPr>
          <w:rFonts w:hint="eastAsia" w:ascii="宋体" w:hAnsi="宋体" w:cs="宋体"/>
          <w:color w:val="000000"/>
          <w:kern w:val="0"/>
          <w:sz w:val="24"/>
          <w:lang w:eastAsia="zh-CN"/>
        </w:rPr>
        <w:t>）</w:t>
      </w:r>
      <w:r>
        <w:rPr>
          <w:rFonts w:hint="eastAsia" w:ascii="宋体" w:hAnsi="宋体" w:cs="宋体"/>
          <w:color w:val="000000"/>
          <w:kern w:val="0"/>
          <w:sz w:val="24"/>
        </w:rPr>
        <w:t xml:space="preserve"> </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三、采购项目预算金额（单位：元）：150000</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p>
      <w:pPr>
        <w:pStyle w:val="65"/>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1.需求明细及说明</w:t>
      </w:r>
    </w:p>
    <w:tbl>
      <w:tblPr>
        <w:tblStyle w:val="30"/>
        <w:tblW w:w="7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001"/>
        <w:gridCol w:w="1457"/>
        <w:gridCol w:w="232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预算单价（元）</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参数规格</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液氩</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1100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99.9995%（195L，自用杜瓦罐，加框架车轮换）</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color w:val="auto"/>
                <w:kern w:val="0"/>
                <w:szCs w:val="21"/>
              </w:rPr>
            </w:pPr>
          </w:p>
        </w:tc>
        <w:tc>
          <w:tcPr>
            <w:tcW w:w="200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氦气</w:t>
            </w:r>
          </w:p>
        </w:tc>
        <w:tc>
          <w:tcPr>
            <w:tcW w:w="1457"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2329"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99.9995%（40L，14.5</w:t>
            </w:r>
            <w:r>
              <w:rPr>
                <w:rFonts w:hint="eastAsia" w:ascii="仿宋_GB2312" w:hAnsi="仿宋_GB2312" w:eastAsia="仿宋_GB2312" w:cs="仿宋_GB2312"/>
                <w:color w:val="auto"/>
                <w:kern w:val="0"/>
                <w:szCs w:val="21"/>
              </w:rPr>
              <w:t>±</w:t>
            </w:r>
            <w:r>
              <w:rPr>
                <w:rFonts w:hint="eastAsia" w:ascii="宋体" w:hAnsi="宋体" w:cs="宋体"/>
                <w:color w:val="auto"/>
                <w:kern w:val="0"/>
                <w:szCs w:val="21"/>
              </w:rPr>
              <w:t>0.5MPa G5/8"RH）</w:t>
            </w:r>
          </w:p>
        </w:tc>
        <w:tc>
          <w:tcPr>
            <w:tcW w:w="66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氧气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氮气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140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氩气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氨氦混合气（10%氨气 90%氦气）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2000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99.999%（40L，10MPa，G5/8"RH，不锈钢阀门）</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 xml:space="preserve"> 氩氧（80%氩气 20%氧气）混合气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550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99.999%（40L，10MPa，G5/8"RH）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乙炔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450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99.6%（40L）</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 xml:space="preserve">氨气 </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1950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99.9999%（40L/20kg CGA660 不锈钢阀门）</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 xml:space="preserve">氧气 </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1000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99.9999%（40L，14.5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color w:val="auto"/>
                <w:kern w:val="0"/>
                <w:szCs w:val="21"/>
              </w:rPr>
            </w:pPr>
          </w:p>
        </w:tc>
        <w:tc>
          <w:tcPr>
            <w:tcW w:w="200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氦气</w:t>
            </w:r>
          </w:p>
        </w:tc>
        <w:tc>
          <w:tcPr>
            <w:tcW w:w="1457" w:type="dxa"/>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2800</w:t>
            </w:r>
          </w:p>
        </w:tc>
        <w:tc>
          <w:tcPr>
            <w:tcW w:w="232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99.9999%（40L，14.5</w:t>
            </w:r>
            <w:r>
              <w:rPr>
                <w:rFonts w:hint="eastAsia" w:ascii="仿宋_GB2312" w:hAnsi="仿宋_GB2312" w:eastAsia="仿宋_GB2312" w:cs="仿宋_GB2312"/>
                <w:color w:val="auto"/>
                <w:kern w:val="0"/>
                <w:szCs w:val="21"/>
              </w:rPr>
              <w:t>±</w:t>
            </w:r>
            <w:r>
              <w:rPr>
                <w:rFonts w:hint="eastAsia" w:ascii="宋体" w:hAnsi="宋体" w:cs="宋体"/>
                <w:color w:val="auto"/>
                <w:kern w:val="0"/>
                <w:szCs w:val="21"/>
              </w:rPr>
              <w:t>0.5MPa G5/8"RH）</w:t>
            </w:r>
          </w:p>
        </w:tc>
        <w:tc>
          <w:tcPr>
            <w:tcW w:w="66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天然气标准气体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6800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1、成分：氦：0.101%、氢：2.08%、氧：0.493%，氮：1.49%、二氧化碳：1.53%、乙烷：5.03%、丙烷：5.07%、异丁烷：0.501%、正丁烷：0.504%、0新戊烷：0.205%、异戊烷：0.214%、正戊烷：0.212%、正己烷：0.203%、一氧化碳：00.997%、平衡气：甲2、规格：8L，3、充装压力：5MPa</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left"/>
              <w:rPr>
                <w:rFonts w:ascii="宋体" w:hAnsi="宋体" w:cs="宋体"/>
                <w:kern w:val="0"/>
                <w:szCs w:val="21"/>
              </w:rPr>
            </w:pPr>
            <w:r>
              <w:rPr>
                <w:rFonts w:hint="eastAsia" w:ascii="宋体" w:hAnsi="宋体" w:cs="宋体"/>
                <w:kern w:val="0"/>
                <w:szCs w:val="21"/>
              </w:rPr>
              <w:t>液化石油气标准气体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7000</w:t>
            </w:r>
          </w:p>
        </w:tc>
        <w:tc>
          <w:tcPr>
            <w:tcW w:w="2329" w:type="dxa"/>
            <w:vAlign w:val="center"/>
          </w:tcPr>
          <w:p>
            <w:pPr>
              <w:widowControl/>
              <w:jc w:val="left"/>
              <w:rPr>
                <w:rFonts w:ascii="宋体" w:hAnsi="宋体" w:cs="宋体"/>
                <w:kern w:val="0"/>
                <w:szCs w:val="21"/>
              </w:rPr>
            </w:pPr>
            <w:r>
              <w:rPr>
                <w:rFonts w:hint="eastAsia" w:ascii="宋体" w:hAnsi="宋体" w:cs="宋体"/>
                <w:kern w:val="0"/>
                <w:szCs w:val="21"/>
              </w:rPr>
              <w:t xml:space="preserve">1、成分：甲烷：0.500%+乙烷：1.000%+乙烯：1.000%+丙烯： </w:t>
            </w:r>
          </w:p>
          <w:p>
            <w:pPr>
              <w:widowControl/>
              <w:jc w:val="left"/>
              <w:rPr>
                <w:rFonts w:ascii="宋体" w:hAnsi="宋体" w:cs="宋体"/>
                <w:kern w:val="0"/>
                <w:szCs w:val="21"/>
              </w:rPr>
            </w:pPr>
            <w:r>
              <w:rPr>
                <w:rFonts w:hint="eastAsia" w:ascii="宋体" w:hAnsi="宋体" w:cs="宋体"/>
                <w:kern w:val="0"/>
                <w:szCs w:val="21"/>
              </w:rPr>
              <w:t xml:space="preserve">2.000%+异丁烷：7.500%+正丁烷：20.000%+1-丁烯：2.000%+异丁 </w:t>
            </w:r>
          </w:p>
          <w:p>
            <w:pPr>
              <w:widowControl/>
              <w:jc w:val="left"/>
              <w:rPr>
                <w:rFonts w:ascii="宋体" w:hAnsi="宋体" w:cs="宋体"/>
                <w:kern w:val="0"/>
                <w:szCs w:val="21"/>
              </w:rPr>
            </w:pPr>
            <w:r>
              <w:rPr>
                <w:rFonts w:hint="eastAsia" w:ascii="宋体" w:hAnsi="宋体" w:cs="宋体"/>
                <w:kern w:val="0"/>
                <w:szCs w:val="21"/>
              </w:rPr>
              <w:t xml:space="preserve">烯：2.000%+反2-丁烯：2.000%+顺2-丁烯：2.000%+1，3-丁二烯： </w:t>
            </w:r>
          </w:p>
          <w:p>
            <w:pPr>
              <w:widowControl/>
              <w:jc w:val="left"/>
              <w:rPr>
                <w:rFonts w:ascii="宋体" w:hAnsi="宋体" w:cs="宋体"/>
                <w:kern w:val="0"/>
                <w:szCs w:val="21"/>
              </w:rPr>
            </w:pPr>
            <w:r>
              <w:rPr>
                <w:rFonts w:hint="eastAsia" w:ascii="宋体" w:hAnsi="宋体" w:cs="宋体"/>
                <w:kern w:val="0"/>
                <w:szCs w:val="21"/>
              </w:rPr>
              <w:t>0.500%+异戊烷：1.500%+正戊烷：1.500%+丙烷平衡</w:t>
            </w:r>
          </w:p>
          <w:p>
            <w:pPr>
              <w:widowControl/>
              <w:rPr>
                <w:rFonts w:ascii="宋体" w:hAnsi="宋体" w:cs="宋体"/>
                <w:kern w:val="0"/>
                <w:szCs w:val="21"/>
              </w:rPr>
            </w:pPr>
            <w:r>
              <w:rPr>
                <w:rFonts w:hint="eastAsia" w:ascii="宋体" w:hAnsi="宋体" w:cs="宋体"/>
                <w:kern w:val="0"/>
                <w:szCs w:val="21"/>
              </w:rPr>
              <w:t>2、规格：8L  3、充装压力：3MPa</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生物质气标准气体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2400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1、成分：H2：15%+CO：22%+CO2：18%+O2：1%+CH4：3%+C2H6： </w:t>
            </w:r>
          </w:p>
          <w:p>
            <w:pPr>
              <w:widowControl/>
              <w:jc w:val="center"/>
              <w:rPr>
                <w:rFonts w:ascii="宋体" w:hAnsi="宋体" w:cs="宋体"/>
                <w:kern w:val="0"/>
                <w:szCs w:val="21"/>
              </w:rPr>
            </w:pPr>
            <w:r>
              <w:rPr>
                <w:rFonts w:hint="eastAsia" w:ascii="宋体" w:hAnsi="宋体" w:cs="宋体"/>
                <w:kern w:val="0"/>
                <w:szCs w:val="21"/>
              </w:rPr>
              <w:t>1%+C3H8：1%+N2平衡</w:t>
            </w:r>
          </w:p>
          <w:p>
            <w:pPr>
              <w:widowControl/>
              <w:jc w:val="center"/>
              <w:rPr>
                <w:rFonts w:ascii="宋体" w:hAnsi="宋体" w:cs="宋体"/>
                <w:kern w:val="0"/>
                <w:szCs w:val="21"/>
              </w:rPr>
            </w:pPr>
            <w:r>
              <w:rPr>
                <w:rFonts w:hint="eastAsia" w:ascii="宋体" w:hAnsi="宋体" w:cs="宋体"/>
                <w:kern w:val="0"/>
                <w:szCs w:val="21"/>
              </w:rPr>
              <w:t>2、规格：8L；3、充装压力：10MPa</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硫化氢/总硫标准气体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5000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1、成分：氧硫化碳3.6mg/m3；硫化氢6.2mg/m3；二硫化碳3.2mg/m3；甲硫醇4.1mg/m3；乙硫醇2.0mg/m3；叔丁硫醇3.6mg/m3；甲硫醚3.1mg/m3；乙硫醚2.3mg/m3；甲基乙基硫醚2.5mg/m3；四氢噻吩6.5mg/m3,氮气平衡气）2、规格：8L；3、充装压力：10MPa</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氧气（3%），氮气（平衡气），10MPa，4L铝合金瓶铜阀</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 氧气（10%），氮气（平衡气），10MPa，4L铝合金瓶铜阀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 一氧化碳（150ppm），氮气（平衡气），10MPa，4L铝合金瓶铜阀</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二氧化碳（10%），氮气（平衡气），10MPa，4L铝合金瓶铜阀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一氧化碳（50ppm），氮气（平衡气），10MPa，4L铝合金瓶铜阀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二氧化硫（50ppm），氮气（平衡气），10MPa，4L铝合金瓶铜阀</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800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硫化氢（50ppm），氮气（平衡气），10MPa，4L铝合金内涂层瓶不锈钢阀门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氮气（99.999%），10MPa，4L铝合金瓶铜阀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氢气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250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99.999%（40L，14.5±0.5MPa G5/8"RH）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租金</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0.5</w:t>
            </w:r>
          </w:p>
        </w:tc>
        <w:tc>
          <w:tcPr>
            <w:tcW w:w="232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钢瓶日租金为0.5元/瓶/天,杜瓦罐客户自用瓶轮换，免收租金</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元/瓶/天 </w:t>
            </w:r>
          </w:p>
        </w:tc>
      </w:tr>
    </w:tbl>
    <w:p>
      <w:pPr>
        <w:pStyle w:val="18"/>
        <w:tabs>
          <w:tab w:val="left" w:pos="540"/>
        </w:tabs>
        <w:spacing w:line="280" w:lineRule="exact"/>
        <w:ind w:firstLine="361" w:firstLineChars="200"/>
        <w:rPr>
          <w:rFonts w:hAnsi="宋体" w:cs="宋体"/>
          <w:b/>
          <w:bCs/>
          <w:color w:val="000000"/>
          <w:kern w:val="0"/>
          <w:sz w:val="18"/>
          <w:szCs w:val="18"/>
        </w:rPr>
      </w:pPr>
    </w:p>
    <w:p>
      <w:pPr>
        <w:pStyle w:val="18"/>
        <w:tabs>
          <w:tab w:val="left" w:pos="540"/>
        </w:tabs>
        <w:spacing w:line="280" w:lineRule="exact"/>
        <w:ind w:firstLine="482" w:firstLineChars="200"/>
        <w:rPr>
          <w:rFonts w:hint="default" w:hAnsi="宋体" w:cs="Times New Roman"/>
          <w:bCs w:val="0"/>
          <w:color w:val="auto"/>
          <w:sz w:val="24"/>
          <w:szCs w:val="24"/>
          <w:highlight w:val="none"/>
        </w:rPr>
      </w:pPr>
      <w:r>
        <w:rPr>
          <w:rFonts w:hint="default" w:hAnsi="宋体" w:cs="Times New Roman"/>
          <w:b/>
          <w:bCs/>
          <w:color w:val="auto"/>
          <w:kern w:val="2"/>
          <w:sz w:val="24"/>
          <w:szCs w:val="24"/>
          <w:highlight w:val="none"/>
        </w:rPr>
        <w:t>注</w:t>
      </w:r>
      <w:r>
        <w:rPr>
          <w:rFonts w:hint="default" w:hAnsi="宋体" w:cs="Times New Roman"/>
          <w:b w:val="0"/>
          <w:bCs w:val="0"/>
          <w:color w:val="auto"/>
          <w:kern w:val="2"/>
          <w:sz w:val="24"/>
          <w:szCs w:val="24"/>
          <w:highlight w:val="none"/>
        </w:rPr>
        <w:t>：</w:t>
      </w:r>
      <w:r>
        <w:rPr>
          <w:rFonts w:hint="default" w:hAnsi="宋体" w:cs="Times New Roman"/>
          <w:b w:val="0"/>
          <w:bCs w:val="0"/>
          <w:color w:val="auto"/>
          <w:kern w:val="2"/>
          <w:sz w:val="24"/>
          <w:szCs w:val="24"/>
          <w:highlight w:val="none"/>
          <w:lang w:val="en-US" w:eastAsia="zh-CN"/>
        </w:rPr>
        <w:t>1.</w:t>
      </w:r>
      <w:r>
        <w:rPr>
          <w:rFonts w:hint="default" w:hAnsi="宋体"/>
          <w:color w:val="auto"/>
          <w:sz w:val="24"/>
          <w:szCs w:val="24"/>
          <w:highlight w:val="none"/>
        </w:rPr>
        <w:t>本项目采用总价包干，投标报价（</w:t>
      </w:r>
      <w:r>
        <w:rPr>
          <w:rFonts w:hint="default" w:hAnsi="宋体"/>
          <w:bCs w:val="0"/>
          <w:color w:val="auto"/>
          <w:sz w:val="24"/>
          <w:szCs w:val="24"/>
          <w:highlight w:val="none"/>
        </w:rPr>
        <w:t>包括</w:t>
      </w:r>
      <w:r>
        <w:rPr>
          <w:rFonts w:hint="default" w:hAnsi="宋体"/>
          <w:color w:val="auto"/>
          <w:sz w:val="24"/>
          <w:szCs w:val="24"/>
          <w:highlight w:val="none"/>
        </w:rPr>
        <w:t>但不仅限于）：</w:t>
      </w:r>
      <w:r>
        <w:rPr>
          <w:rFonts w:hint="default" w:hAnsi="宋体" w:cs="Times New Roman"/>
          <w:color w:val="auto"/>
          <w:sz w:val="24"/>
          <w:szCs w:val="24"/>
          <w:highlight w:val="none"/>
        </w:rPr>
        <w:t>货物及零配件、</w:t>
      </w:r>
      <w:r>
        <w:rPr>
          <w:rFonts w:hint="default" w:hAnsi="宋体" w:cs="Times New Roman"/>
          <w:bCs w:val="0"/>
          <w:color w:val="auto"/>
          <w:sz w:val="24"/>
          <w:szCs w:val="24"/>
          <w:highlight w:val="none"/>
        </w:rPr>
        <w:t>人工费、</w:t>
      </w:r>
      <w:r>
        <w:rPr>
          <w:rFonts w:hint="default" w:hAnsi="宋体" w:cs="Times New Roman"/>
          <w:color w:val="auto"/>
          <w:sz w:val="24"/>
          <w:szCs w:val="24"/>
          <w:highlight w:val="none"/>
        </w:rPr>
        <w:t>运输费、装卸费、保险费、安装费、调试费、材料费、</w:t>
      </w:r>
      <w:r>
        <w:rPr>
          <w:rFonts w:hint="default" w:hAnsi="宋体" w:cs="Times New Roman"/>
          <w:bCs w:val="0"/>
          <w:color w:val="auto"/>
          <w:sz w:val="24"/>
          <w:szCs w:val="24"/>
          <w:highlight w:val="none"/>
        </w:rPr>
        <w:t>验收费、</w:t>
      </w:r>
      <w:r>
        <w:rPr>
          <w:rFonts w:hint="default" w:hAnsi="宋体" w:cs="Times New Roman"/>
          <w:color w:val="auto"/>
          <w:sz w:val="24"/>
          <w:szCs w:val="24"/>
          <w:highlight w:val="none"/>
        </w:rPr>
        <w:t>技术服务费（含联络费、培训费、保修费、计量校准费用）、各项税费及合同实施过程中应预见和不可预见费用</w:t>
      </w:r>
      <w:r>
        <w:rPr>
          <w:rFonts w:hint="default" w:hAnsi="宋体"/>
          <w:color w:val="auto"/>
          <w:sz w:val="24"/>
          <w:szCs w:val="24"/>
          <w:highlight w:val="none"/>
        </w:rPr>
        <w:t>（包括人工、材料、机械、设备等的市场价格上涨风险</w:t>
      </w:r>
      <w:r>
        <w:rPr>
          <w:rFonts w:hint="default" w:hAnsi="宋体"/>
          <w:bCs w:val="0"/>
          <w:color w:val="auto"/>
          <w:sz w:val="24"/>
          <w:szCs w:val="24"/>
          <w:highlight w:val="none"/>
        </w:rPr>
        <w:t>的</w:t>
      </w:r>
      <w:r>
        <w:rPr>
          <w:rFonts w:hint="default" w:hAnsi="宋体"/>
          <w:color w:val="auto"/>
          <w:sz w:val="24"/>
          <w:szCs w:val="24"/>
          <w:highlight w:val="none"/>
        </w:rPr>
        <w:t>费用）</w:t>
      </w:r>
      <w:r>
        <w:rPr>
          <w:rFonts w:hint="default" w:hAnsi="宋体" w:cs="Times New Roman"/>
          <w:color w:val="auto"/>
          <w:sz w:val="24"/>
          <w:szCs w:val="24"/>
          <w:highlight w:val="none"/>
        </w:rPr>
        <w:t>等完成本采购内容所需的一切费用</w:t>
      </w:r>
      <w:r>
        <w:rPr>
          <w:rFonts w:hint="default" w:hAnsi="宋体"/>
          <w:bCs w:val="0"/>
          <w:color w:val="auto"/>
          <w:sz w:val="24"/>
          <w:szCs w:val="24"/>
          <w:highlight w:val="none"/>
          <w:lang w:val="en-US"/>
        </w:rPr>
        <w:t>，除以上费用，</w:t>
      </w:r>
      <w:r>
        <w:rPr>
          <w:rFonts w:hint="default" w:hAnsi="宋体" w:cs="Times New Roman"/>
          <w:bCs w:val="0"/>
          <w:color w:val="auto"/>
          <w:sz w:val="24"/>
          <w:szCs w:val="24"/>
          <w:highlight w:val="none"/>
        </w:rPr>
        <w:t>采购人不再支付其他费用。</w:t>
      </w:r>
    </w:p>
    <w:p>
      <w:pPr>
        <w:pStyle w:val="18"/>
        <w:numPr>
          <w:ilvl w:val="-1"/>
          <w:numId w:val="0"/>
        </w:numPr>
        <w:tabs>
          <w:tab w:val="left" w:pos="540"/>
        </w:tabs>
        <w:spacing w:line="280" w:lineRule="exact"/>
        <w:ind w:left="0" w:firstLine="480" w:firstLineChars="200"/>
        <w:rPr>
          <w:rFonts w:hint="default" w:ascii="宋体" w:hAnsi="宋体"/>
          <w:color w:val="auto"/>
          <w:sz w:val="24"/>
          <w:highlight w:val="none"/>
          <w:lang w:val="en-US" w:eastAsia="zh-CN"/>
        </w:rPr>
      </w:pPr>
      <w:r>
        <w:rPr>
          <w:rFonts w:ascii="宋体" w:hAnsi="宋体"/>
          <w:color w:val="auto"/>
          <w:sz w:val="24"/>
          <w:szCs w:val="24"/>
          <w:highlight w:val="none"/>
        </w:rPr>
        <w:t>质量要求、技术标准：按相关国家标准</w:t>
      </w:r>
      <w:r>
        <w:rPr>
          <w:rFonts w:hint="default" w:ascii="宋体" w:hAnsi="宋体"/>
          <w:color w:val="auto"/>
          <w:sz w:val="24"/>
          <w:szCs w:val="24"/>
          <w:highlight w:val="none"/>
          <w:lang w:val="en-US" w:eastAsia="zh-CN"/>
        </w:rPr>
        <w:t>GB/T5099.1</w:t>
      </w:r>
      <w:r>
        <w:rPr>
          <w:rFonts w:ascii="宋体" w:hAnsi="宋体"/>
          <w:color w:val="auto"/>
          <w:sz w:val="24"/>
          <w:szCs w:val="24"/>
          <w:highlight w:val="none"/>
        </w:rPr>
        <w:t>和厂方出厂技术要求</w:t>
      </w:r>
      <w:r>
        <w:rPr>
          <w:rFonts w:hint="default" w:ascii="宋体" w:hAnsi="宋体"/>
          <w:color w:val="auto"/>
          <w:sz w:val="24"/>
          <w:szCs w:val="24"/>
          <w:highlight w:val="none"/>
          <w:lang w:eastAsia="zh-CN"/>
        </w:rPr>
        <w:t>，</w:t>
      </w:r>
      <w:r>
        <w:rPr>
          <w:rFonts w:hint="default" w:ascii="宋体" w:hAnsi="宋体"/>
          <w:color w:val="auto"/>
          <w:sz w:val="24"/>
          <w:szCs w:val="24"/>
          <w:highlight w:val="none"/>
          <w:lang w:val="en-US" w:eastAsia="zh-CN"/>
        </w:rPr>
        <w:t>气瓶需配备开放式瓶帽，瓶</w:t>
      </w:r>
      <w:r>
        <w:rPr>
          <w:rFonts w:hint="default" w:ascii="宋体" w:hAnsi="宋体"/>
          <w:color w:val="auto"/>
          <w:sz w:val="24"/>
          <w:highlight w:val="none"/>
          <w:lang w:val="en-US" w:eastAsia="zh-CN"/>
        </w:rPr>
        <w:t>口塑封，瓶身干净整洁，不存在腐蚀生锈和保护层脱落等情况。</w:t>
      </w:r>
    </w:p>
    <w:p>
      <w:pPr>
        <w:pStyle w:val="2"/>
        <w:ind w:firstLine="720" w:firstLineChars="300"/>
        <w:rPr>
          <w:rFonts w:hint="default" w:ascii="宋体" w:hAnsi="宋体"/>
          <w:color w:val="auto"/>
          <w:sz w:val="24"/>
          <w:highlight w:val="yellow"/>
          <w:lang w:val="en-US" w:eastAsia="zh-CN"/>
        </w:rPr>
      </w:pPr>
      <w:r>
        <w:rPr>
          <w:rFonts w:hint="eastAsia" w:ascii="宋体" w:hAnsi="宋体" w:cs="Times New Roman"/>
          <w:bCs w:val="0"/>
          <w:color w:val="000000"/>
          <w:spacing w:val="0"/>
          <w:kern w:val="2"/>
          <w:sz w:val="24"/>
          <w:szCs w:val="24"/>
          <w:highlight w:val="none"/>
          <w:lang w:val="en-US" w:eastAsia="zh-CN" w:bidi="ar-SA"/>
        </w:rPr>
        <w:t>3.</w:t>
      </w:r>
      <w:r>
        <w:rPr>
          <w:rFonts w:hint="eastAsia" w:ascii="宋体" w:hAnsi="宋体" w:eastAsia="宋体" w:cs="Times New Roman"/>
          <w:bCs w:val="0"/>
          <w:color w:val="000000"/>
          <w:spacing w:val="0"/>
          <w:kern w:val="2"/>
          <w:sz w:val="24"/>
          <w:szCs w:val="24"/>
          <w:highlight w:val="none"/>
          <w:lang w:val="en-US" w:eastAsia="zh-CN" w:bidi="ar-SA"/>
        </w:rPr>
        <w:t>因供方钢瓶自身质量缺陷所导致的安全事故，或因供方产品质量未达标而造成需方的一切损失（包括但不限于仪器设备损坏、检验检测工作超期等）由供方承担责任及相应的赔偿。</w:t>
      </w:r>
    </w:p>
    <w:p>
      <w:pPr>
        <w:pStyle w:val="18"/>
        <w:tabs>
          <w:tab w:val="left" w:pos="540"/>
        </w:tabs>
        <w:spacing w:line="280" w:lineRule="exact"/>
        <w:ind w:firstLine="360" w:firstLineChars="200"/>
        <w:rPr>
          <w:rFonts w:hint="default" w:hAnsi="宋体" w:eastAsia="宋体" w:cs="宋体"/>
          <w:bCs/>
          <w:sz w:val="18"/>
          <w:szCs w:val="18"/>
          <w:lang w:val="en-US" w:eastAsia="zh-CN"/>
        </w:rPr>
      </w:pPr>
    </w:p>
    <w:p>
      <w:pPr>
        <w:numPr>
          <w:ilvl w:val="0"/>
          <w:numId w:val="6"/>
        </w:numPr>
        <w:spacing w:line="360" w:lineRule="auto"/>
        <w:rPr>
          <w:rFonts w:cs="宋体"/>
          <w:b/>
          <w:sz w:val="24"/>
          <w:szCs w:val="21"/>
          <w:highlight w:val="none"/>
        </w:rPr>
      </w:pPr>
      <w:r>
        <w:rPr>
          <w:rFonts w:hint="eastAsia" w:cs="宋体"/>
          <w:b/>
          <w:sz w:val="24"/>
          <w:szCs w:val="21"/>
          <w:highlight w:val="none"/>
        </w:rPr>
        <w:t>商务要求</w:t>
      </w:r>
    </w:p>
    <w:p>
      <w:pPr>
        <w:adjustRightInd w:val="0"/>
        <w:snapToGrid w:val="0"/>
        <w:spacing w:line="340" w:lineRule="exact"/>
        <w:ind w:firstLine="480" w:firstLineChars="200"/>
        <w:rPr>
          <w:rFonts w:hint="default" w:ascii="宋体" w:hAnsi="宋体"/>
          <w:color w:val="auto"/>
          <w:sz w:val="24"/>
          <w:szCs w:val="24"/>
          <w:highlight w:val="none"/>
          <w:lang w:eastAsia="zh-CN"/>
        </w:rPr>
      </w:pPr>
      <w:r>
        <w:rPr>
          <w:rFonts w:hint="default" w:ascii="宋体" w:hAnsi="宋体"/>
          <w:color w:val="auto"/>
          <w:sz w:val="24"/>
          <w:szCs w:val="24"/>
          <w:highlight w:val="none"/>
        </w:rPr>
        <w:t>（1）</w:t>
      </w:r>
      <w:r>
        <w:rPr>
          <w:rFonts w:ascii="宋体" w:hAnsi="宋体"/>
          <w:color w:val="auto"/>
          <w:sz w:val="24"/>
          <w:szCs w:val="24"/>
          <w:highlight w:val="none"/>
        </w:rPr>
        <w:t>交货</w:t>
      </w:r>
      <w:r>
        <w:rPr>
          <w:rFonts w:hint="default" w:ascii="宋体" w:hAnsi="宋体"/>
          <w:color w:val="auto"/>
          <w:sz w:val="24"/>
          <w:szCs w:val="24"/>
          <w:highlight w:val="none"/>
        </w:rPr>
        <w:t>期及响应时间：采购人提出用气需求时，供方需在12小时内响应，</w:t>
      </w:r>
      <w:r>
        <w:rPr>
          <w:rFonts w:hint="default" w:ascii="宋体" w:hAnsi="宋体"/>
          <w:color w:val="auto"/>
          <w:sz w:val="24"/>
          <w:szCs w:val="24"/>
          <w:highlight w:val="none"/>
          <w:lang w:val="en-US" w:eastAsia="zh-CN"/>
        </w:rPr>
        <w:t>标准气体交货期为一个月内，其余气体</w:t>
      </w:r>
      <w:r>
        <w:rPr>
          <w:rFonts w:hint="default" w:ascii="宋体" w:hAnsi="宋体"/>
          <w:color w:val="auto"/>
          <w:sz w:val="24"/>
          <w:szCs w:val="24"/>
          <w:highlight w:val="none"/>
          <w:lang w:eastAsia="zh-CN"/>
        </w:rPr>
        <w:t>为3个工作日内。</w:t>
      </w:r>
    </w:p>
    <w:p>
      <w:pPr>
        <w:adjustRightInd w:val="0"/>
        <w:snapToGrid w:val="0"/>
        <w:spacing w:line="360" w:lineRule="auto"/>
        <w:ind w:firstLine="480" w:firstLineChars="200"/>
        <w:rPr>
          <w:rFonts w:hint="eastAsia" w:eastAsia="宋体"/>
          <w:sz w:val="24"/>
          <w:szCs w:val="21"/>
          <w:highlight w:val="none"/>
          <w:lang w:eastAsia="zh-CN"/>
        </w:rPr>
      </w:pPr>
      <w:r>
        <w:rPr>
          <w:rFonts w:hint="eastAsia"/>
          <w:sz w:val="24"/>
          <w:szCs w:val="21"/>
          <w:highlight w:val="none"/>
        </w:rPr>
        <w:t>（2）</w:t>
      </w:r>
      <w:r>
        <w:rPr>
          <w:sz w:val="24"/>
          <w:szCs w:val="21"/>
          <w:highlight w:val="none"/>
        </w:rPr>
        <w:t>交货地点：</w:t>
      </w:r>
      <w:r>
        <w:rPr>
          <w:rFonts w:hint="eastAsia"/>
          <w:sz w:val="24"/>
          <w:szCs w:val="21"/>
          <w:highlight w:val="none"/>
        </w:rPr>
        <w:t>采购人指定地点</w:t>
      </w:r>
      <w:r>
        <w:rPr>
          <w:rFonts w:hint="eastAsia"/>
          <w:sz w:val="24"/>
          <w:szCs w:val="21"/>
          <w:highlight w:val="none"/>
          <w:lang w:eastAsia="zh-CN"/>
        </w:rPr>
        <w:t>。</w:t>
      </w:r>
    </w:p>
    <w:p>
      <w:pPr>
        <w:adjustRightInd w:val="0"/>
        <w:snapToGrid w:val="0"/>
        <w:spacing w:line="360" w:lineRule="auto"/>
        <w:ind w:firstLine="480" w:firstLineChars="200"/>
        <w:rPr>
          <w:rFonts w:hint="eastAsia" w:eastAsia="宋体"/>
          <w:sz w:val="24"/>
          <w:szCs w:val="21"/>
          <w:highlight w:val="none"/>
          <w:lang w:eastAsia="zh-CN"/>
        </w:rPr>
      </w:pPr>
      <w:r>
        <w:rPr>
          <w:rFonts w:hint="eastAsia"/>
          <w:sz w:val="24"/>
          <w:szCs w:val="21"/>
          <w:highlight w:val="none"/>
        </w:rPr>
        <w:t>（3）交货方式：现场交付，送货上门</w:t>
      </w:r>
      <w:r>
        <w:rPr>
          <w:rFonts w:hint="eastAsia"/>
          <w:sz w:val="24"/>
          <w:szCs w:val="21"/>
          <w:highlight w:val="none"/>
          <w:lang w:eastAsia="zh-CN"/>
        </w:rPr>
        <w:t>。</w:t>
      </w:r>
    </w:p>
    <w:p>
      <w:pPr>
        <w:pStyle w:val="2"/>
        <w:rPr>
          <w:rFonts w:hint="eastAsia" w:eastAsia="宋体"/>
          <w:szCs w:val="21"/>
          <w:highlight w:val="none"/>
          <w:u w:val="none"/>
          <w:lang w:eastAsia="zh-CN"/>
        </w:rPr>
      </w:pPr>
      <w:r>
        <w:rPr>
          <w:rFonts w:hint="eastAsia"/>
          <w:szCs w:val="21"/>
          <w:highlight w:val="none"/>
        </w:rPr>
        <w:t xml:space="preserve">   （4）服务网点要求：中选单位最迟需在签订合同后2个月内在广州市或佛山市内设立售后服务点</w:t>
      </w:r>
      <w:r>
        <w:rPr>
          <w:rFonts w:hint="eastAsia"/>
          <w:szCs w:val="21"/>
          <w:highlight w:val="none"/>
          <w:lang w:eastAsia="zh-CN"/>
        </w:rPr>
        <w:t>。</w:t>
      </w:r>
    </w:p>
    <w:p>
      <w:pPr>
        <w:pStyle w:val="2"/>
        <w:ind w:firstLine="480" w:firstLineChars="200"/>
        <w:rPr>
          <w:rFonts w:hint="eastAsia" w:ascii="宋体" w:hAnsi="宋体" w:eastAsia="宋体" w:cs="Times New Roman"/>
          <w:bCs w:val="0"/>
          <w:color w:val="000000"/>
          <w:spacing w:val="0"/>
          <w:kern w:val="2"/>
          <w:sz w:val="24"/>
          <w:szCs w:val="24"/>
          <w:highlight w:val="none"/>
          <w:lang w:val="en-US" w:eastAsia="zh-CN" w:bidi="ar-SA"/>
        </w:rPr>
      </w:pPr>
      <w:r>
        <w:rPr>
          <w:rFonts w:hint="eastAsia" w:ascii="宋体" w:hAnsi="宋体" w:eastAsia="宋体" w:cs="Times New Roman"/>
          <w:bCs w:val="0"/>
          <w:color w:val="000000"/>
          <w:spacing w:val="0"/>
          <w:kern w:val="2"/>
          <w:sz w:val="24"/>
          <w:szCs w:val="24"/>
          <w:highlight w:val="none"/>
          <w:lang w:val="en-US" w:eastAsia="zh-CN" w:bidi="ar-SA"/>
        </w:rPr>
        <w:t>（</w:t>
      </w:r>
      <w:r>
        <w:rPr>
          <w:rFonts w:hint="eastAsia" w:ascii="宋体" w:hAnsi="宋体" w:cs="Times New Roman"/>
          <w:bCs w:val="0"/>
          <w:color w:val="000000"/>
          <w:spacing w:val="0"/>
          <w:kern w:val="2"/>
          <w:sz w:val="24"/>
          <w:szCs w:val="24"/>
          <w:highlight w:val="none"/>
          <w:lang w:val="en-US" w:eastAsia="zh-CN" w:bidi="ar-SA"/>
        </w:rPr>
        <w:t>5</w:t>
      </w:r>
      <w:r>
        <w:rPr>
          <w:rFonts w:hint="eastAsia" w:ascii="宋体" w:hAnsi="宋体" w:eastAsia="宋体" w:cs="Times New Roman"/>
          <w:bCs w:val="0"/>
          <w:color w:val="000000"/>
          <w:spacing w:val="0"/>
          <w:kern w:val="2"/>
          <w:sz w:val="24"/>
          <w:szCs w:val="24"/>
          <w:highlight w:val="none"/>
          <w:lang w:val="en-US" w:eastAsia="zh-CN" w:bidi="ar-SA"/>
        </w:rPr>
        <w:t>）因供方钢瓶自身质量缺陷所导致的安全事故，或因供方产品质量未达标而造成需方的一切损失（包括但不限于仪器设备损坏、检验检测工作超期等）由供方承担责任及相应的赔偿。</w:t>
      </w:r>
    </w:p>
    <w:p>
      <w:pPr>
        <w:pStyle w:val="3"/>
        <w:ind w:firstLine="480" w:firstLineChars="200"/>
        <w:rPr>
          <w:highlight w:val="none"/>
        </w:rPr>
      </w:pPr>
      <w:r>
        <w:rPr>
          <w:rFonts w:hint="eastAsia"/>
          <w:sz w:val="24"/>
          <w:szCs w:val="21"/>
          <w:highlight w:val="none"/>
        </w:rPr>
        <w:t>（</w:t>
      </w:r>
      <w:r>
        <w:rPr>
          <w:rFonts w:hint="eastAsia"/>
          <w:sz w:val="24"/>
          <w:szCs w:val="21"/>
          <w:highlight w:val="none"/>
          <w:lang w:val="en-US" w:eastAsia="zh-CN"/>
        </w:rPr>
        <w:t>6</w:t>
      </w:r>
      <w:r>
        <w:rPr>
          <w:rFonts w:hint="eastAsia"/>
          <w:sz w:val="24"/>
          <w:szCs w:val="21"/>
          <w:highlight w:val="none"/>
        </w:rPr>
        <w:t>）</w:t>
      </w:r>
      <w:r>
        <w:rPr>
          <w:rFonts w:hint="eastAsia" w:hAnsi="宋体"/>
          <w:color w:val="000000"/>
          <w:sz w:val="24"/>
          <w:highlight w:val="none"/>
        </w:rPr>
        <w:t>结算周期要求：≥2个月。</w:t>
      </w:r>
    </w:p>
    <w:p>
      <w:pPr>
        <w:pStyle w:val="104"/>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pPr>
        <w:pStyle w:val="65"/>
        <w:spacing w:line="360" w:lineRule="auto"/>
        <w:ind w:firstLine="480" w:firstLineChars="200"/>
        <w:rPr>
          <w:rFonts w:ascii="宋体" w:hAnsi="宋体" w:cs="仿宋_GB2312"/>
          <w:color w:val="000000"/>
          <w:sz w:val="24"/>
        </w:rPr>
      </w:pPr>
      <w:r>
        <w:rPr>
          <w:rFonts w:hint="eastAsia" w:ascii="宋体" w:hAnsi="宋体" w:cs="仿宋_GB2312"/>
          <w:sz w:val="24"/>
        </w:rPr>
        <w:t>（二）竞投人应具有独立法人资格并依法取得营业执照，营业执照处于有效期。</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竞价人应具有中华人民共和国气瓶充装许可证、危险化学品经营许可证、中华人民共和国道路运输经营许可证（经营范围包含危险货物运输）【如供应商无中华人民共和国道路运输经营许可证的，可与具有该证的单位合作，提供合作协议复印件、合作单位的道路运输经营许可证复印件】（上述材料均需要在有效期内）；</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（四）竞投人如果是法人或其他组织的，参加报价的必须是法定代表人（负责人）或法定代表人（负责人）的授权代表。</w:t>
      </w:r>
    </w:p>
    <w:p>
      <w:pPr>
        <w:pStyle w:val="65"/>
        <w:spacing w:line="360" w:lineRule="auto"/>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rPr>
        <w:t>）若出现两位或两位以上竞投人的报价相同且同为最低报价，未能确定竞得人的，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pPr>
        <w:pStyle w:val="15"/>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三</w:t>
      </w:r>
      <w:r>
        <w:rPr>
          <w:rFonts w:hint="eastAsia" w:ascii="宋体" w:hAnsi="宋体" w:cs="宋体"/>
          <w:color w:val="000000"/>
          <w:kern w:val="0"/>
          <w:sz w:val="24"/>
          <w:highlight w:val="none"/>
        </w:rPr>
        <w:t>）少于三位</w:t>
      </w:r>
      <w:r>
        <w:rPr>
          <w:rFonts w:hint="eastAsia" w:ascii="宋体" w:hAnsi="宋体" w:cs="宋体"/>
          <w:color w:val="000000"/>
          <w:kern w:val="0"/>
          <w:sz w:val="24"/>
          <w:highlight w:val="none"/>
          <w:lang w:val="en-US" w:eastAsia="zh-CN"/>
        </w:rPr>
        <w:t>符合竞投人准入条件</w:t>
      </w:r>
      <w:r>
        <w:rPr>
          <w:rFonts w:hint="eastAsia" w:ascii="宋体" w:hAnsi="宋体" w:cs="宋体"/>
          <w:color w:val="000000"/>
          <w:kern w:val="0"/>
          <w:sz w:val="24"/>
          <w:highlight w:val="none"/>
        </w:rPr>
        <w:t>的竞投人</w:t>
      </w:r>
      <w:r>
        <w:rPr>
          <w:rFonts w:hint="eastAsia" w:ascii="宋体" w:hAnsi="宋体" w:cs="宋体"/>
          <w:color w:val="000000"/>
          <w:kern w:val="0"/>
          <w:sz w:val="24"/>
          <w:highlight w:val="none"/>
          <w:lang w:val="en-US" w:eastAsia="zh-CN"/>
        </w:rPr>
        <w:t>或</w:t>
      </w:r>
      <w:r>
        <w:rPr>
          <w:rFonts w:hint="eastAsia" w:ascii="宋体" w:hAnsi="宋体" w:cs="宋体"/>
          <w:color w:val="000000"/>
          <w:kern w:val="0"/>
          <w:sz w:val="24"/>
          <w:highlight w:val="none"/>
        </w:rPr>
        <w:t>因重大变故，采购任务取消的，</w:t>
      </w:r>
      <w:r>
        <w:rPr>
          <w:rFonts w:hint="eastAsia" w:ascii="宋体" w:hAnsi="宋体" w:cs="宋体"/>
          <w:color w:val="000000"/>
          <w:kern w:val="0"/>
          <w:sz w:val="24"/>
          <w:highlight w:val="none"/>
          <w:lang w:eastAsia="zh-CN"/>
        </w:rPr>
        <w:t>取消本次竞价活动，另行组织竞价。</w:t>
      </w:r>
    </w:p>
    <w:p>
      <w:pPr>
        <w:pStyle w:val="65"/>
        <w:spacing w:line="360" w:lineRule="auto"/>
        <w:ind w:firstLine="480" w:firstLineChars="200"/>
        <w:rPr>
          <w:rFonts w:ascii="宋体" w:hAnsi="宋体" w:cs="宋体"/>
          <w:color w:val="000000"/>
          <w:kern w:val="0"/>
          <w:sz w:val="24"/>
          <w:highlight w:val="none"/>
        </w:rPr>
      </w:pPr>
    </w:p>
    <w:p>
      <w:pPr>
        <w:pStyle w:val="65"/>
        <w:snapToGrid w:val="0"/>
        <w:spacing w:line="440" w:lineRule="exact"/>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rPr>
        <w:t>七、报名地址及方式</w:t>
      </w:r>
    </w:p>
    <w:p>
      <w:pPr>
        <w:pStyle w:val="65"/>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）地址：广东省佛山市顺德区陈村镇广隆工业区兴业六路3号（国家工业锅炉质量检验检测中心（广东））。</w:t>
      </w:r>
    </w:p>
    <w:p>
      <w:pPr>
        <w:pStyle w:val="65"/>
        <w:snapToGrid w:val="0"/>
        <w:spacing w:line="440" w:lineRule="exact"/>
        <w:ind w:firstLine="480" w:firstLineChars="20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rPr>
        <w:t>本采购项目仅接受</w:t>
      </w:r>
      <w:r>
        <w:rPr>
          <w:rFonts w:hint="eastAsia" w:ascii="宋体" w:hAnsi="宋体" w:cs="宋体"/>
          <w:color w:val="auto"/>
          <w:kern w:val="0"/>
          <w:sz w:val="24"/>
          <w:highlight w:val="none"/>
          <w:lang w:val="en-US" w:eastAsia="zh-CN"/>
        </w:rPr>
        <w:t>资料纸质版邮寄</w:t>
      </w:r>
      <w:r>
        <w:rPr>
          <w:rFonts w:hint="eastAsia" w:ascii="宋体" w:hAnsi="宋体" w:cs="宋体"/>
          <w:color w:val="auto"/>
          <w:kern w:val="0"/>
          <w:sz w:val="24"/>
          <w:highlight w:val="none"/>
        </w:rPr>
        <w:t>报名，请各竞投人</w:t>
      </w:r>
      <w:r>
        <w:rPr>
          <w:rFonts w:hint="eastAsia" w:ascii="宋体" w:hAnsi="宋体" w:eastAsia="宋体" w:cs="宋体"/>
          <w:i w:val="0"/>
          <w:iCs w:val="0"/>
          <w:caps w:val="0"/>
          <w:color w:val="auto"/>
          <w:spacing w:val="0"/>
          <w:kern w:val="0"/>
          <w:sz w:val="24"/>
          <w:szCs w:val="24"/>
          <w:highlight w:val="none"/>
        </w:rPr>
        <w:t>在本竞价公告发布之日起</w:t>
      </w:r>
      <w:r>
        <w:rPr>
          <w:rFonts w:hint="eastAsia" w:ascii="宋体" w:hAnsi="宋体" w:cs="宋体"/>
          <w:i w:val="0"/>
          <w:iCs w:val="0"/>
          <w:caps w:val="0"/>
          <w:color w:val="auto"/>
          <w:spacing w:val="0"/>
          <w:kern w:val="0"/>
          <w:sz w:val="24"/>
          <w:szCs w:val="24"/>
          <w:highlight w:val="none"/>
          <w:lang w:val="en-US" w:eastAsia="zh-CN"/>
        </w:rPr>
        <w:t>7</w:t>
      </w:r>
      <w:r>
        <w:rPr>
          <w:rFonts w:hint="eastAsia" w:ascii="宋体" w:hAnsi="宋体" w:eastAsia="宋体" w:cs="宋体"/>
          <w:i w:val="0"/>
          <w:iCs w:val="0"/>
          <w:caps w:val="0"/>
          <w:color w:val="auto"/>
          <w:spacing w:val="0"/>
          <w:kern w:val="0"/>
          <w:sz w:val="24"/>
          <w:szCs w:val="24"/>
          <w:highlight w:val="none"/>
        </w:rPr>
        <w:t>个工作日</w:t>
      </w:r>
      <w:r>
        <w:rPr>
          <w:rFonts w:hint="eastAsia" w:ascii="宋体" w:hAnsi="宋体" w:cs="宋体"/>
          <w:i w:val="0"/>
          <w:iCs w:val="0"/>
          <w:caps w:val="0"/>
          <w:color w:val="auto"/>
          <w:spacing w:val="0"/>
          <w:kern w:val="0"/>
          <w:sz w:val="24"/>
          <w:szCs w:val="24"/>
          <w:highlight w:val="none"/>
          <w:lang w:val="en-US" w:eastAsia="zh-CN"/>
        </w:rPr>
        <w:t>内</w:t>
      </w:r>
      <w:r>
        <w:rPr>
          <w:rFonts w:hint="eastAsia" w:ascii="宋体" w:hAnsi="宋体" w:eastAsia="宋体" w:cs="宋体"/>
          <w:i w:val="0"/>
          <w:iCs w:val="0"/>
          <w:caps w:val="0"/>
          <w:color w:val="auto"/>
          <w:spacing w:val="0"/>
          <w:kern w:val="0"/>
          <w:sz w:val="24"/>
          <w:szCs w:val="24"/>
          <w:highlight w:val="none"/>
        </w:rPr>
        <w:t>将报名材料纸质件邮寄至</w:t>
      </w:r>
      <w:r>
        <w:rPr>
          <w:rFonts w:hint="eastAsia" w:ascii="宋体" w:hAnsi="宋体" w:eastAsia="宋体" w:cs="宋体"/>
          <w:i w:val="0"/>
          <w:iCs w:val="0"/>
          <w:caps w:val="0"/>
          <w:color w:val="auto"/>
          <w:spacing w:val="0"/>
          <w:kern w:val="0"/>
          <w:sz w:val="24"/>
          <w:szCs w:val="24"/>
          <w:highlight w:val="none"/>
          <w:lang w:val="en-US" w:eastAsia="zh-CN"/>
        </w:rPr>
        <w:t>广东省佛山市顺德区陈村广隆工业区兴业六路3号国家工业锅炉质量监督检验中心（广东省特种设备检测研究院顺德检测院）</w:t>
      </w:r>
      <w:r>
        <w:rPr>
          <w:rFonts w:hint="eastAsia" w:ascii="宋体" w:hAnsi="宋体" w:cs="宋体"/>
          <w:i w:val="0"/>
          <w:iCs w:val="0"/>
          <w:caps w:val="0"/>
          <w:color w:val="auto"/>
          <w:spacing w:val="0"/>
          <w:kern w:val="0"/>
          <w:sz w:val="24"/>
          <w:szCs w:val="24"/>
          <w:highlight w:val="none"/>
          <w:lang w:val="en-US" w:eastAsia="zh-CN"/>
        </w:rPr>
        <w:t>，总师办陈工 0757-22337615。</w:t>
      </w:r>
    </w:p>
    <w:p>
      <w:pPr>
        <w:pStyle w:val="65"/>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 xml:space="preserve">）报名注意事项 </w:t>
      </w:r>
    </w:p>
    <w:p>
      <w:pPr>
        <w:pStyle w:val="65"/>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1、本项目不接受联合体报名。</w:t>
      </w:r>
    </w:p>
    <w:p>
      <w:pPr>
        <w:pStyle w:val="65"/>
        <w:snapToGrid w:val="0"/>
        <w:spacing w:line="440" w:lineRule="exact"/>
        <w:ind w:firstLine="480" w:firstLineChars="200"/>
        <w:rPr>
          <w:rFonts w:hint="eastAsia" w:ascii="宋体" w:hAnsi="宋体"/>
          <w:color w:val="auto"/>
          <w:sz w:val="24"/>
          <w:highlight w:val="none"/>
        </w:rPr>
      </w:pPr>
      <w:r>
        <w:rPr>
          <w:rFonts w:hint="eastAsia" w:ascii="宋体" w:hAnsi="宋体"/>
          <w:color w:val="auto"/>
          <w:kern w:val="0"/>
          <w:sz w:val="24"/>
          <w:highlight w:val="none"/>
        </w:rPr>
        <w:t>2、</w:t>
      </w:r>
      <w:r>
        <w:rPr>
          <w:rFonts w:hint="eastAsia" w:ascii="宋体" w:hAnsi="宋体"/>
          <w:color w:val="auto"/>
          <w:sz w:val="24"/>
          <w:highlight w:val="none"/>
        </w:rPr>
        <w:t>法定代表人（负责人）为同一人或者存在控股关系的不同单位，不得参加同一项目的竞投。同一标的物一人只能报一次名。</w:t>
      </w:r>
    </w:p>
    <w:p>
      <w:pPr>
        <w:pStyle w:val="65"/>
        <w:snapToGrid w:val="0"/>
        <w:spacing w:line="440" w:lineRule="exact"/>
        <w:ind w:firstLine="480" w:firstLineChars="200"/>
        <w:rPr>
          <w:rFonts w:hint="default" w:ascii="宋体" w:hAnsi="宋体"/>
          <w:color w:val="auto"/>
          <w:sz w:val="24"/>
          <w:highlight w:val="none"/>
        </w:rPr>
      </w:pPr>
      <w:r>
        <w:rPr>
          <w:rFonts w:hint="eastAsia" w:ascii="宋体" w:hAnsi="宋体"/>
          <w:color w:val="auto"/>
          <w:sz w:val="24"/>
          <w:highlight w:val="none"/>
          <w:lang w:val="en-US" w:eastAsia="zh-CN"/>
        </w:rPr>
        <w:t>3.所有邮寄资料需进行密封处理且在封面处标示竞价人单位名称与联系方式，未进行密封处理的资料不予接收。</w:t>
      </w:r>
    </w:p>
    <w:p>
      <w:pPr>
        <w:pStyle w:val="65"/>
        <w:snapToGrid w:val="0"/>
        <w:spacing w:line="44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4.多次邮寄资料的，以第一次邮寄资料为准，后续资料不予接收；</w:t>
      </w:r>
      <w:r>
        <w:rPr>
          <w:rFonts w:hint="eastAsia" w:ascii="宋体" w:hAnsi="宋体" w:cs="宋体"/>
          <w:i w:val="0"/>
          <w:iCs w:val="0"/>
          <w:caps w:val="0"/>
          <w:color w:val="auto"/>
          <w:spacing w:val="0"/>
          <w:kern w:val="0"/>
          <w:sz w:val="24"/>
          <w:szCs w:val="24"/>
          <w:highlight w:val="none"/>
          <w:lang w:val="en-US" w:eastAsia="zh-CN"/>
        </w:rPr>
        <w:t>逾期送达的资料不予接收。</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四</w:t>
      </w:r>
      <w:r>
        <w:rPr>
          <w:rFonts w:hint="eastAsia" w:ascii="宋体" w:hAnsi="宋体"/>
          <w:color w:val="000000"/>
          <w:sz w:val="24"/>
        </w:rPr>
        <w:t>）报名需</w:t>
      </w:r>
      <w:r>
        <w:rPr>
          <w:rFonts w:hint="eastAsia" w:ascii="宋体" w:hAnsi="宋体"/>
          <w:color w:val="000000"/>
          <w:sz w:val="24"/>
          <w:lang w:val="en-US" w:eastAsia="zh-CN"/>
        </w:rPr>
        <w:t>邮寄</w:t>
      </w:r>
      <w:r>
        <w:rPr>
          <w:rFonts w:hint="eastAsia" w:ascii="宋体" w:hAnsi="宋体"/>
          <w:color w:val="000000"/>
          <w:sz w:val="24"/>
        </w:rPr>
        <w:t>的资料</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（1）竞价人的营业执照原件扫描件</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（2）企业信用证明资料（国家企业信用信息公示系统查询截图等）</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（3）竞价人企业简介（非必要资料，如有，可提供）</w:t>
      </w:r>
    </w:p>
    <w:p>
      <w:pPr>
        <w:pStyle w:val="65"/>
        <w:snapToGrid w:val="0"/>
        <w:spacing w:line="440" w:lineRule="exact"/>
        <w:ind w:firstLine="480" w:firstLineChars="200"/>
        <w:rPr>
          <w:rFonts w:hint="eastAsia" w:ascii="宋体" w:hAnsi="宋体"/>
          <w:color w:val="000000"/>
          <w:sz w:val="24"/>
        </w:rPr>
      </w:pPr>
      <w:r>
        <w:rPr>
          <w:rFonts w:hint="eastAsia" w:ascii="宋体" w:hAnsi="宋体"/>
          <w:color w:val="000000"/>
          <w:sz w:val="24"/>
        </w:rPr>
        <w:t>（4）中华人民共和国气瓶充装许可证、危险化学品经营许可证、中华人民共和国道路运输经营许可证（经营范围包含危险货物运输）【如供应商无中华人民共和国道路运输经营许可证的，可与具有该证的单位合作，提供合作协议复印件、合作单位的道路运输经营许可证复印件】（上述材料均需要在有效期内，提供</w:t>
      </w:r>
      <w:r>
        <w:rPr>
          <w:rFonts w:hint="eastAsia" w:ascii="宋体" w:hAnsi="宋体"/>
          <w:color w:val="000000"/>
          <w:sz w:val="24"/>
          <w:lang w:val="en-US" w:eastAsia="zh-CN"/>
        </w:rPr>
        <w:t>加盖竞投人公章的复印件</w:t>
      </w:r>
      <w:r>
        <w:rPr>
          <w:rFonts w:hint="eastAsia" w:ascii="宋体" w:hAnsi="宋体"/>
          <w:color w:val="000000"/>
          <w:sz w:val="24"/>
        </w:rPr>
        <w:t>）；</w:t>
      </w:r>
    </w:p>
    <w:p>
      <w:pPr>
        <w:pStyle w:val="65"/>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）第四章 证明文件格式中相应资料（请竞价人按自身实际情况提供）</w:t>
      </w:r>
    </w:p>
    <w:p>
      <w:pPr>
        <w:pStyle w:val="65"/>
        <w:snapToGrid w:val="0"/>
        <w:spacing w:line="440" w:lineRule="exact"/>
        <w:ind w:firstLine="480" w:firstLineChars="200"/>
        <w:rPr>
          <w:rFonts w:hint="eastAsia" w:ascii="宋体" w:hAnsi="宋体" w:eastAsia="宋体"/>
          <w:color w:val="000000"/>
          <w:sz w:val="24"/>
          <w:lang w:eastAsia="zh-CN"/>
        </w:rPr>
      </w:pP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 xml:space="preserve">第五章 附件 </w:t>
      </w:r>
      <w:r>
        <w:rPr>
          <w:rFonts w:hint="eastAsia" w:ascii="宋体" w:hAnsi="宋体"/>
          <w:color w:val="000000"/>
          <w:sz w:val="24"/>
        </w:rPr>
        <w:t>报价表</w:t>
      </w:r>
    </w:p>
    <w:p>
      <w:pPr>
        <w:pStyle w:val="65"/>
        <w:spacing w:line="440" w:lineRule="exact"/>
        <w:ind w:firstLine="482" w:firstLineChars="200"/>
        <w:rPr>
          <w:rFonts w:ascii="宋体" w:hAnsi="宋体"/>
          <w:b/>
          <w:bCs/>
          <w:sz w:val="24"/>
        </w:rPr>
      </w:pPr>
      <w:r>
        <w:rPr>
          <w:rFonts w:hint="eastAsia" w:ascii="宋体" w:hAnsi="宋体"/>
          <w:b/>
          <w:bCs/>
          <w:sz w:val="24"/>
        </w:rPr>
        <w:t>八、交易保证金</w:t>
      </w:r>
    </w:p>
    <w:p>
      <w:pPr>
        <w:pStyle w:val="65"/>
        <w:spacing w:line="440" w:lineRule="exact"/>
        <w:ind w:firstLine="480" w:firstLineChars="200"/>
        <w:rPr>
          <w:rFonts w:ascii="宋体" w:hAnsi="宋体" w:cs="宋体"/>
          <w:sz w:val="24"/>
        </w:rPr>
      </w:pPr>
      <w:r>
        <w:rPr>
          <w:rFonts w:hint="eastAsia" w:ascii="宋体" w:hAnsi="宋体"/>
          <w:sz w:val="24"/>
        </w:rPr>
        <w:t>此次竞投不收取交易保证金。</w:t>
      </w:r>
    </w:p>
    <w:p>
      <w:pPr>
        <w:pStyle w:val="65"/>
        <w:spacing w:line="440" w:lineRule="exact"/>
        <w:ind w:firstLine="482" w:firstLineChars="200"/>
        <w:rPr>
          <w:rFonts w:ascii="宋体" w:hAnsi="宋体"/>
          <w:b/>
          <w:bCs/>
          <w:sz w:val="24"/>
        </w:rPr>
      </w:pPr>
      <w:r>
        <w:rPr>
          <w:rFonts w:hint="eastAsia" w:ascii="宋体" w:hAnsi="宋体"/>
          <w:b/>
          <w:bCs/>
          <w:sz w:val="24"/>
        </w:rPr>
        <w:t>九、竞投环节</w:t>
      </w:r>
    </w:p>
    <w:p>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(1) 以竞价方式确定成交供应商。</w:t>
      </w:r>
    </w:p>
    <w:p>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(2) 报名时间截止后，按报价由低到高顺序排列，报价最低的为第一成交候选人，若报价相同的，组织报价相同的两个供应商进行第二次报价。</w:t>
      </w:r>
    </w:p>
    <w:p>
      <w:pPr>
        <w:pStyle w:val="104"/>
        <w:spacing w:line="440" w:lineRule="exact"/>
        <w:ind w:firstLine="480" w:firstLineChars="200"/>
        <w:rPr>
          <w:rFonts w:hint="eastAsia" w:ascii="宋体" w:hAnsi="宋体" w:cs="Times New Roman"/>
          <w:b/>
          <w:bCs/>
          <w:sz w:val="24"/>
          <w:szCs w:val="24"/>
        </w:rPr>
      </w:pPr>
      <w:r>
        <w:rPr>
          <w:rFonts w:hint="eastAsia" w:ascii="宋体" w:hAnsi="宋体" w:cs="Times New Roman"/>
          <w:b w:val="0"/>
          <w:color w:val="000000"/>
          <w:sz w:val="24"/>
          <w:szCs w:val="24"/>
        </w:rPr>
        <w:t>十、</w:t>
      </w:r>
      <w:r>
        <w:rPr>
          <w:rFonts w:hint="eastAsia" w:ascii="宋体" w:hAnsi="宋体" w:cs="Times New Roman"/>
          <w:b/>
          <w:bCs/>
          <w:sz w:val="24"/>
          <w:szCs w:val="24"/>
        </w:rPr>
        <w:t>联系方式</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pPr>
        <w:pStyle w:val="65"/>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联系电话：0757－22337615</w:t>
      </w:r>
    </w:p>
    <w:p>
      <w:pPr>
        <w:pStyle w:val="65"/>
        <w:snapToGrid w:val="0"/>
        <w:spacing w:line="440" w:lineRule="exact"/>
        <w:rPr>
          <w:rFonts w:ascii="宋体" w:hAnsi="宋体" w:cs="宋体"/>
          <w:color w:val="000000"/>
          <w:kern w:val="0"/>
          <w:sz w:val="24"/>
        </w:rPr>
      </w:pPr>
    </w:p>
    <w:p>
      <w:pPr>
        <w:pStyle w:val="104"/>
        <w:snapToGrid w:val="0"/>
        <w:spacing w:line="440" w:lineRule="exact"/>
        <w:ind w:firstLine="480" w:firstLineChars="200"/>
        <w:jc w:val="center"/>
        <w:rPr>
          <w:rFonts w:ascii="宋体" w:hAnsi="宋体" w:cs="宋体"/>
          <w:color w:val="000000"/>
          <w:kern w:val="0"/>
          <w:sz w:val="24"/>
          <w:szCs w:val="24"/>
          <w:highlight w:val="none"/>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highlight w:val="none"/>
        </w:rPr>
        <w:t xml:space="preserve">    2023年</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26</w:t>
      </w:r>
      <w:r>
        <w:rPr>
          <w:rFonts w:hint="eastAsia" w:ascii="宋体" w:hAnsi="宋体" w:cs="宋体"/>
          <w:color w:val="000000"/>
          <w:kern w:val="0"/>
          <w:sz w:val="24"/>
          <w:szCs w:val="24"/>
          <w:highlight w:val="none"/>
        </w:rPr>
        <w:t>日</w:t>
      </w:r>
    </w:p>
    <w:p>
      <w:pPr>
        <w:pStyle w:val="64"/>
        <w:widowControl/>
        <w:snapToGrid w:val="0"/>
        <w:spacing w:line="360" w:lineRule="exact"/>
        <w:ind w:firstLine="4410" w:firstLineChars="2100"/>
        <w:rPr>
          <w:rFonts w:ascii="宋体" w:hAnsi="宋体"/>
          <w:color w:val="000000"/>
          <w:sz w:val="72"/>
          <w:szCs w:val="72"/>
        </w:rPr>
      </w:pPr>
      <w:r>
        <w:rPr>
          <w:rFonts w:hint="eastAsia" w:ascii="宋体" w:hAnsi="宋体" w:cs="宋体"/>
          <w:color w:val="000000"/>
          <w:kern w:val="0"/>
        </w:rPr>
        <w:t xml:space="preserve">      </w:t>
      </w:r>
    </w:p>
    <w:p>
      <w:pPr>
        <w:pStyle w:val="4"/>
        <w:spacing w:line="360" w:lineRule="auto"/>
        <w:ind w:firstLine="1417" w:firstLineChars="196"/>
        <w:rPr>
          <w:rFonts w:ascii="宋体" w:hAnsi="宋体"/>
          <w:color w:val="000000"/>
          <w:sz w:val="72"/>
          <w:szCs w:val="72"/>
        </w:rPr>
      </w:pPr>
    </w:p>
    <w:p>
      <w:pPr>
        <w:pStyle w:val="4"/>
        <w:spacing w:line="360" w:lineRule="auto"/>
        <w:rPr>
          <w:rFonts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bookmarkStart w:id="9" w:name="_Toc31301"/>
    </w:p>
    <w:p>
      <w:pPr>
        <w:pStyle w:val="4"/>
        <w:spacing w:line="360" w:lineRule="auto"/>
        <w:jc w:val="center"/>
        <w:rPr>
          <w:rFonts w:ascii="宋体" w:hAnsi="宋体"/>
          <w:color w:val="000000"/>
          <w:sz w:val="72"/>
          <w:szCs w:val="72"/>
        </w:rPr>
      </w:pPr>
    </w:p>
    <w:p>
      <w:pPr>
        <w:pStyle w:val="4"/>
        <w:spacing w:line="360" w:lineRule="auto"/>
        <w:jc w:val="center"/>
        <w:rPr>
          <w:rFonts w:ascii="宋体" w:hAnsi="宋体"/>
          <w:color w:val="000000"/>
          <w:sz w:val="72"/>
          <w:szCs w:val="72"/>
        </w:rPr>
      </w:pPr>
    </w:p>
    <w:p>
      <w:pPr>
        <w:pStyle w:val="4"/>
        <w:spacing w:line="360" w:lineRule="auto"/>
        <w:jc w:val="center"/>
        <w:rPr>
          <w:rFonts w:ascii="宋体" w:hAnsi="宋体"/>
          <w:color w:val="000000"/>
          <w:sz w:val="72"/>
          <w:szCs w:val="72"/>
        </w:rPr>
      </w:pPr>
    </w:p>
    <w:p>
      <w:pPr>
        <w:pStyle w:val="4"/>
        <w:spacing w:line="360" w:lineRule="auto"/>
        <w:jc w:val="center"/>
        <w:rPr>
          <w:rFonts w:ascii="宋体" w:hAnsi="宋体"/>
          <w:color w:val="000000"/>
          <w:sz w:val="72"/>
          <w:szCs w:val="72"/>
        </w:rPr>
      </w:pPr>
      <w:bookmarkStart w:id="10" w:name="_Toc2887"/>
      <w:bookmarkStart w:id="11" w:name="_Toc22229"/>
      <w:bookmarkStart w:id="12" w:name="_Toc7384"/>
      <w:bookmarkStart w:id="13" w:name="_Toc12252"/>
      <w:bookmarkStart w:id="14" w:name="_Toc26858"/>
      <w:bookmarkStart w:id="15" w:name="_Toc31055"/>
      <w:bookmarkStart w:id="16" w:name="_Toc28410"/>
      <w:r>
        <w:rPr>
          <w:rFonts w:hint="eastAsia" w:ascii="宋体" w:hAnsi="宋体"/>
          <w:color w:val="000000"/>
          <w:sz w:val="72"/>
          <w:szCs w:val="72"/>
        </w:rPr>
        <w:t>第二章 竞投人须知</w:t>
      </w:r>
      <w:bookmarkEnd w:id="9"/>
      <w:bookmarkEnd w:id="10"/>
      <w:bookmarkEnd w:id="11"/>
      <w:bookmarkEnd w:id="12"/>
      <w:bookmarkEnd w:id="13"/>
      <w:bookmarkEnd w:id="14"/>
      <w:bookmarkEnd w:id="15"/>
      <w:bookmarkEnd w:id="16"/>
    </w:p>
    <w:p>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pPr>
        <w:pStyle w:val="6"/>
        <w:numPr>
          <w:ilvl w:val="2"/>
          <w:numId w:val="0"/>
        </w:numPr>
        <w:spacing w:before="240" w:after="240" w:line="360" w:lineRule="exact"/>
        <w:rPr>
          <w:rFonts w:ascii="宋体" w:hAnsi="宋体"/>
          <w:color w:val="000000"/>
        </w:rPr>
      </w:pPr>
      <w:bookmarkStart w:id="17" w:name="_Toc32621"/>
      <w:bookmarkStart w:id="18" w:name="_Toc17144"/>
      <w:bookmarkStart w:id="19" w:name="_Toc8894"/>
      <w:bookmarkStart w:id="20" w:name="_Toc8305"/>
      <w:bookmarkStart w:id="21" w:name="_Toc8669"/>
      <w:bookmarkStart w:id="22" w:name="_Toc27568"/>
      <w:bookmarkStart w:id="23" w:name="_Toc6117"/>
      <w:bookmarkStart w:id="24" w:name="_Toc30444"/>
      <w:bookmarkStart w:id="25" w:name="_Toc393898101"/>
      <w:bookmarkStart w:id="26" w:name="_Toc322598618"/>
      <w:bookmarkStart w:id="27" w:name="_Toc293581514"/>
      <w:bookmarkStart w:id="28" w:name="_Toc322448777"/>
      <w:r>
        <w:rPr>
          <w:rFonts w:hint="eastAsia" w:ascii="宋体" w:hAnsi="宋体"/>
          <w:color w:val="000000"/>
        </w:rPr>
        <w:t>一、说明</w:t>
      </w:r>
      <w:bookmarkEnd w:id="17"/>
      <w:bookmarkEnd w:id="18"/>
      <w:bookmarkEnd w:id="19"/>
      <w:bookmarkEnd w:id="20"/>
      <w:bookmarkEnd w:id="21"/>
      <w:bookmarkEnd w:id="22"/>
      <w:bookmarkEnd w:id="23"/>
      <w:bookmarkEnd w:id="24"/>
    </w:p>
    <w:p>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25"/>
    </w:p>
    <w:p>
      <w:pPr>
        <w:spacing w:line="460" w:lineRule="exact"/>
        <w:ind w:firstLine="480" w:firstLineChars="200"/>
        <w:rPr>
          <w:rFonts w:ascii="宋体" w:hAnsi="宋体"/>
          <w:color w:val="000000"/>
          <w:sz w:val="24"/>
          <w:highlight w:val="none"/>
        </w:rPr>
      </w:pPr>
      <w:bookmarkStart w:id="29" w:name="_Toc393898102"/>
      <w:r>
        <w:rPr>
          <w:rFonts w:hint="eastAsia" w:ascii="宋体" w:hAnsi="宋体"/>
          <w:color w:val="000000"/>
          <w:sz w:val="24"/>
          <w:highlight w:val="none"/>
        </w:rPr>
        <w:t>（二）竞投人</w:t>
      </w:r>
      <w:r>
        <w:rPr>
          <w:rFonts w:hint="eastAsia" w:ascii="宋体" w:hAnsi="宋体"/>
          <w:color w:val="000000"/>
          <w:sz w:val="24"/>
          <w:highlight w:val="none"/>
          <w:lang w:val="en-US" w:eastAsia="zh-CN"/>
        </w:rPr>
        <w:t>可</w:t>
      </w:r>
      <w:r>
        <w:rPr>
          <w:rFonts w:hint="eastAsia" w:ascii="宋体" w:hAnsi="宋体"/>
          <w:color w:val="000000"/>
          <w:sz w:val="24"/>
          <w:highlight w:val="none"/>
        </w:rPr>
        <w:t>对标的物进行了解核实（含实地勘察、查阅相关资料等）。</w:t>
      </w:r>
      <w:bookmarkEnd w:id="29"/>
    </w:p>
    <w:p>
      <w:pPr>
        <w:pStyle w:val="6"/>
        <w:numPr>
          <w:ilvl w:val="2"/>
          <w:numId w:val="0"/>
        </w:numPr>
        <w:spacing w:before="240" w:after="240" w:line="460" w:lineRule="exact"/>
        <w:rPr>
          <w:rFonts w:ascii="宋体" w:hAnsi="宋体"/>
          <w:color w:val="000000"/>
          <w:sz w:val="24"/>
          <w:szCs w:val="24"/>
        </w:rPr>
      </w:pPr>
      <w:bookmarkStart w:id="30" w:name="_Toc14891"/>
      <w:bookmarkStart w:id="31" w:name="_Toc15610"/>
      <w:bookmarkStart w:id="32" w:name="_Toc16390"/>
      <w:bookmarkStart w:id="33" w:name="_Toc1953"/>
      <w:bookmarkStart w:id="34" w:name="_Toc393898105"/>
      <w:bookmarkStart w:id="35" w:name="_Toc12942"/>
      <w:bookmarkStart w:id="36" w:name="_Toc25175"/>
      <w:bookmarkStart w:id="37" w:name="_Toc31891"/>
      <w:bookmarkStart w:id="38" w:name="_Toc26867"/>
      <w:r>
        <w:rPr>
          <w:rFonts w:hint="eastAsia" w:ascii="宋体" w:hAnsi="宋体"/>
          <w:color w:val="000000"/>
          <w:sz w:val="24"/>
          <w:szCs w:val="24"/>
        </w:rPr>
        <w:t>二、本竞价文件的构成</w:t>
      </w:r>
      <w:bookmarkEnd w:id="26"/>
      <w:bookmarkEnd w:id="27"/>
      <w:bookmarkEnd w:id="28"/>
      <w:bookmarkEnd w:id="30"/>
      <w:bookmarkEnd w:id="31"/>
      <w:bookmarkEnd w:id="32"/>
      <w:bookmarkEnd w:id="33"/>
      <w:bookmarkEnd w:id="34"/>
      <w:bookmarkEnd w:id="35"/>
      <w:bookmarkEnd w:id="36"/>
      <w:bookmarkEnd w:id="37"/>
      <w:bookmarkEnd w:id="38"/>
    </w:p>
    <w:p>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pPr>
        <w:spacing w:line="460" w:lineRule="exact"/>
        <w:ind w:firstLine="480" w:firstLineChars="200"/>
        <w:rPr>
          <w:rFonts w:ascii="宋体" w:hAnsi="宋体"/>
          <w:color w:val="000000"/>
          <w:sz w:val="24"/>
        </w:rPr>
      </w:pPr>
      <w:r>
        <w:rPr>
          <w:rFonts w:hint="eastAsia" w:ascii="宋体" w:hAnsi="宋体"/>
          <w:color w:val="000000"/>
          <w:sz w:val="24"/>
        </w:rPr>
        <w:t>第五章  附件</w:t>
      </w:r>
    </w:p>
    <w:p>
      <w:pPr>
        <w:pStyle w:val="6"/>
        <w:numPr>
          <w:ilvl w:val="2"/>
          <w:numId w:val="0"/>
        </w:numPr>
        <w:spacing w:before="240" w:after="240" w:line="460" w:lineRule="exact"/>
        <w:rPr>
          <w:rFonts w:ascii="宋体" w:hAnsi="宋体"/>
          <w:color w:val="000000"/>
          <w:sz w:val="24"/>
          <w:szCs w:val="24"/>
        </w:rPr>
      </w:pPr>
      <w:bookmarkStart w:id="39" w:name="_Toc322598620"/>
      <w:bookmarkStart w:id="40" w:name="_Toc322448779"/>
      <w:bookmarkStart w:id="41" w:name="_Toc293581516"/>
      <w:bookmarkStart w:id="42" w:name="_Toc11628"/>
      <w:bookmarkStart w:id="43" w:name="_Toc3099"/>
      <w:bookmarkStart w:id="44" w:name="_Toc2926"/>
      <w:bookmarkStart w:id="45" w:name="_Toc14979"/>
      <w:bookmarkStart w:id="46" w:name="_Toc31188"/>
      <w:bookmarkStart w:id="47" w:name="_Toc393898107"/>
      <w:bookmarkStart w:id="48" w:name="_Toc6905"/>
      <w:bookmarkStart w:id="49" w:name="_Toc13074"/>
      <w:bookmarkStart w:id="50" w:name="_Toc11783"/>
      <w:r>
        <w:rPr>
          <w:rFonts w:hint="eastAsia" w:ascii="宋体" w:hAnsi="宋体"/>
          <w:color w:val="000000"/>
          <w:sz w:val="24"/>
          <w:szCs w:val="24"/>
        </w:rPr>
        <w:t>三、竞价文件的修改</w:t>
      </w:r>
      <w:bookmarkEnd w:id="39"/>
      <w:bookmarkEnd w:id="40"/>
      <w:bookmarkEnd w:id="41"/>
      <w:bookmarkEnd w:id="42"/>
      <w:bookmarkEnd w:id="43"/>
      <w:bookmarkEnd w:id="44"/>
      <w:bookmarkEnd w:id="45"/>
      <w:bookmarkEnd w:id="46"/>
      <w:bookmarkEnd w:id="47"/>
      <w:bookmarkEnd w:id="48"/>
      <w:bookmarkEnd w:id="49"/>
      <w:bookmarkEnd w:id="50"/>
    </w:p>
    <w:p>
      <w:pPr>
        <w:spacing w:line="460" w:lineRule="exact"/>
        <w:ind w:firstLine="480" w:firstLineChars="200"/>
        <w:rPr>
          <w:rFonts w:ascii="宋体" w:hAnsi="宋体"/>
          <w:color w:val="000000"/>
          <w:sz w:val="24"/>
        </w:rPr>
      </w:pPr>
      <w:bookmarkStart w:id="51" w:name="_Toc418116223"/>
      <w:r>
        <w:rPr>
          <w:rFonts w:hint="eastAsia" w:ascii="宋体" w:hAnsi="宋体"/>
          <w:color w:val="000000"/>
          <w:sz w:val="24"/>
        </w:rPr>
        <w:t>（一）竞价文件的修改是指需方对竞价文件中出现的错误进行修订。</w:t>
      </w:r>
    </w:p>
    <w:p>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（二）竞价文件的修改将电话形式通知所有竞价文件买受人，该竞价文件的修改将构成竞价文件的一部分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pPr>
        <w:pStyle w:val="6"/>
        <w:spacing w:line="460" w:lineRule="exact"/>
        <w:rPr>
          <w:rFonts w:ascii="宋体" w:hAnsi="宋体"/>
          <w:color w:val="000000"/>
          <w:sz w:val="24"/>
          <w:szCs w:val="24"/>
        </w:rPr>
      </w:pPr>
      <w:bookmarkStart w:id="52" w:name="_Toc6562"/>
      <w:bookmarkStart w:id="53" w:name="_Toc26810"/>
      <w:bookmarkStart w:id="54" w:name="_Toc31932"/>
      <w:bookmarkStart w:id="55" w:name="_Toc3218"/>
      <w:bookmarkStart w:id="56" w:name="_Toc4921"/>
      <w:bookmarkStart w:id="57" w:name="_Toc24813"/>
      <w:bookmarkStart w:id="58" w:name="_Toc10783"/>
      <w:bookmarkStart w:id="59" w:name="_Toc2781"/>
      <w:r>
        <w:rPr>
          <w:rFonts w:hint="eastAsia" w:ascii="宋体" w:hAnsi="宋体"/>
          <w:color w:val="000000"/>
          <w:sz w:val="24"/>
          <w:szCs w:val="24"/>
        </w:rPr>
        <w:t>四、竞投资格</w:t>
      </w:r>
      <w:bookmarkEnd w:id="51"/>
      <w:bookmarkEnd w:id="52"/>
      <w:bookmarkEnd w:id="53"/>
      <w:bookmarkEnd w:id="54"/>
      <w:bookmarkEnd w:id="55"/>
      <w:bookmarkEnd w:id="56"/>
      <w:bookmarkEnd w:id="57"/>
      <w:bookmarkEnd w:id="58"/>
      <w:bookmarkEnd w:id="59"/>
    </w:p>
    <w:p>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w:t>
      </w:r>
    </w:p>
    <w:p>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1、竞投人未按照竞价文件要求准时提交竞价文件的；</w:t>
      </w:r>
    </w:p>
    <w:p>
      <w:pPr>
        <w:pStyle w:val="6"/>
        <w:numPr>
          <w:ilvl w:val="2"/>
          <w:numId w:val="0"/>
        </w:numPr>
        <w:spacing w:before="240" w:after="240" w:line="460" w:lineRule="exact"/>
        <w:rPr>
          <w:rFonts w:ascii="宋体" w:hAnsi="宋体"/>
          <w:color w:val="000000"/>
          <w:sz w:val="24"/>
          <w:szCs w:val="24"/>
        </w:rPr>
      </w:pPr>
      <w:bookmarkStart w:id="60" w:name="_Toc14520"/>
      <w:bookmarkStart w:id="61" w:name="_Toc2246"/>
      <w:bookmarkStart w:id="62" w:name="_Toc18599"/>
      <w:bookmarkStart w:id="63" w:name="_Toc13151"/>
      <w:bookmarkStart w:id="64" w:name="_Toc21262"/>
      <w:bookmarkStart w:id="65" w:name="_Toc10784"/>
      <w:bookmarkStart w:id="66" w:name="_Toc16731"/>
      <w:bookmarkStart w:id="67" w:name="_Toc12682"/>
      <w:r>
        <w:rPr>
          <w:rFonts w:hint="eastAsia" w:ascii="宋体" w:hAnsi="宋体"/>
          <w:color w:val="000000"/>
          <w:sz w:val="24"/>
          <w:szCs w:val="24"/>
        </w:rPr>
        <w:t>五、交易保证金</w:t>
      </w:r>
      <w:bookmarkEnd w:id="60"/>
      <w:bookmarkEnd w:id="61"/>
      <w:bookmarkEnd w:id="62"/>
      <w:bookmarkEnd w:id="63"/>
      <w:bookmarkEnd w:id="64"/>
      <w:bookmarkEnd w:id="65"/>
      <w:bookmarkEnd w:id="66"/>
      <w:bookmarkEnd w:id="67"/>
    </w:p>
    <w:p>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pPr>
        <w:pStyle w:val="6"/>
        <w:numPr>
          <w:ilvl w:val="2"/>
          <w:numId w:val="0"/>
        </w:numPr>
        <w:spacing w:before="240" w:after="240" w:line="460" w:lineRule="exact"/>
        <w:rPr>
          <w:rFonts w:ascii="宋体" w:hAnsi="宋体"/>
          <w:color w:val="000000"/>
          <w:sz w:val="24"/>
          <w:szCs w:val="24"/>
        </w:rPr>
      </w:pPr>
      <w:bookmarkStart w:id="68" w:name="_Toc322598621"/>
      <w:bookmarkStart w:id="69" w:name="_Toc30127"/>
      <w:bookmarkStart w:id="70" w:name="_Toc7041"/>
      <w:bookmarkStart w:id="71" w:name="_Toc2885"/>
      <w:bookmarkStart w:id="72" w:name="_Toc22983"/>
      <w:bookmarkStart w:id="73" w:name="_Toc6021"/>
      <w:bookmarkStart w:id="74" w:name="_Toc984"/>
      <w:bookmarkStart w:id="75" w:name="_Toc322448780"/>
      <w:bookmarkStart w:id="76" w:name="_Toc393898108"/>
      <w:bookmarkStart w:id="77" w:name="_Toc27640"/>
      <w:bookmarkStart w:id="78" w:name="_Toc26672"/>
      <w:bookmarkStart w:id="79" w:name="_Toc293581517"/>
      <w:r>
        <w:rPr>
          <w:rFonts w:hint="eastAsia" w:ascii="宋体" w:hAnsi="宋体"/>
          <w:color w:val="000000"/>
          <w:sz w:val="24"/>
          <w:szCs w:val="24"/>
        </w:rPr>
        <w:t>六、证明文件</w:t>
      </w:r>
      <w:bookmarkEnd w:id="68"/>
      <w:bookmarkEnd w:id="69"/>
      <w:bookmarkEnd w:id="70"/>
      <w:bookmarkEnd w:id="71"/>
      <w:bookmarkEnd w:id="72"/>
      <w:bookmarkEnd w:id="73"/>
      <w:bookmarkEnd w:id="74"/>
      <w:bookmarkEnd w:id="75"/>
      <w:bookmarkEnd w:id="76"/>
      <w:bookmarkEnd w:id="77"/>
      <w:bookmarkEnd w:id="78"/>
      <w:bookmarkEnd w:id="79"/>
    </w:p>
    <w:p>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pPr>
        <w:spacing w:line="460" w:lineRule="exact"/>
        <w:ind w:firstLine="480" w:firstLineChars="200"/>
        <w:rPr>
          <w:rFonts w:ascii="宋体" w:hAnsi="宋体"/>
          <w:color w:val="000000"/>
          <w:sz w:val="24"/>
        </w:rPr>
      </w:pPr>
      <w:r>
        <w:rPr>
          <w:rFonts w:hint="eastAsia" w:ascii="宋体" w:hAnsi="宋体"/>
          <w:color w:val="000000"/>
          <w:sz w:val="24"/>
        </w:rPr>
        <w:t>1、封面；</w:t>
      </w:r>
    </w:p>
    <w:p>
      <w:pPr>
        <w:spacing w:line="460" w:lineRule="exact"/>
        <w:ind w:firstLine="480" w:firstLineChars="200"/>
        <w:rPr>
          <w:rFonts w:ascii="宋体" w:hAnsi="宋体"/>
          <w:color w:val="000000"/>
          <w:sz w:val="24"/>
        </w:rPr>
      </w:pPr>
      <w:r>
        <w:rPr>
          <w:rFonts w:hint="eastAsia" w:ascii="宋体" w:hAnsi="宋体"/>
          <w:color w:val="000000"/>
          <w:sz w:val="24"/>
        </w:rPr>
        <w:t>2、竞投人证明书；</w:t>
      </w:r>
    </w:p>
    <w:p>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pPr>
        <w:spacing w:line="460" w:lineRule="exact"/>
        <w:ind w:firstLine="480" w:firstLineChars="200"/>
        <w:rPr>
          <w:rFonts w:hint="eastAsia" w:ascii="宋体" w:hAnsi="宋体"/>
          <w:color w:val="000000"/>
          <w:sz w:val="24"/>
        </w:rPr>
      </w:pPr>
      <w:r>
        <w:rPr>
          <w:rFonts w:hint="eastAsia" w:ascii="宋体" w:hAnsi="宋体"/>
          <w:color w:val="000000"/>
          <w:sz w:val="24"/>
        </w:rPr>
        <w:t>5、陪同人员证明书</w:t>
      </w:r>
      <w:r>
        <w:rPr>
          <w:rFonts w:hint="eastAsia" w:ascii="宋体" w:hAnsi="宋体"/>
          <w:color w:val="000000"/>
          <w:sz w:val="24"/>
          <w:lang w:eastAsia="zh-CN"/>
        </w:rPr>
        <w:t>；</w:t>
      </w:r>
    </w:p>
    <w:p>
      <w:pPr>
        <w:pStyle w:val="2"/>
        <w:rPr>
          <w:rFonts w:hint="eastAsia" w:ascii="宋体" w:hAnsi="宋体" w:eastAsia="宋体"/>
          <w:bCs w:val="0"/>
          <w:color w:val="000000"/>
          <w:spacing w:val="0"/>
          <w:kern w:val="2"/>
          <w:szCs w:val="24"/>
          <w:lang w:val="en-US" w:eastAsia="zh-CN"/>
        </w:rPr>
      </w:pPr>
      <w:r>
        <w:rPr>
          <w:rFonts w:hint="eastAsia"/>
          <w:lang w:val="en-US" w:eastAsia="zh-CN"/>
        </w:rPr>
        <w:t xml:space="preserve">    </w:t>
      </w:r>
      <w:r>
        <w:rPr>
          <w:rFonts w:hint="eastAsia" w:ascii="宋体" w:hAnsi="宋体"/>
          <w:bCs w:val="0"/>
          <w:color w:val="000000"/>
          <w:spacing w:val="0"/>
          <w:kern w:val="2"/>
          <w:sz w:val="24"/>
          <w:szCs w:val="24"/>
          <w:lang w:val="en-US" w:eastAsia="zh-CN"/>
        </w:rPr>
        <w:t>6</w:t>
      </w:r>
      <w:r>
        <w:rPr>
          <w:rFonts w:hint="eastAsia" w:ascii="宋体" w:hAnsi="宋体"/>
          <w:bCs w:val="0"/>
          <w:color w:val="000000"/>
          <w:spacing w:val="0"/>
          <w:kern w:val="2"/>
          <w:sz w:val="24"/>
          <w:szCs w:val="24"/>
        </w:rPr>
        <w:t>、</w:t>
      </w:r>
      <w:r>
        <w:rPr>
          <w:rFonts w:hint="eastAsia" w:ascii="宋体" w:hAnsi="宋体"/>
          <w:bCs w:val="0"/>
          <w:color w:val="000000"/>
          <w:spacing w:val="0"/>
          <w:kern w:val="2"/>
          <w:sz w:val="24"/>
          <w:szCs w:val="24"/>
          <w:lang w:val="en-US" w:eastAsia="zh-CN"/>
        </w:rPr>
        <w:t>采购项目内容及需求响应声明函</w:t>
      </w:r>
      <w:r>
        <w:rPr>
          <w:rFonts w:hint="eastAsia" w:ascii="宋体" w:hAnsi="宋体"/>
          <w:bCs w:val="0"/>
          <w:color w:val="000000"/>
          <w:spacing w:val="0"/>
          <w:kern w:val="2"/>
          <w:sz w:val="24"/>
          <w:szCs w:val="24"/>
        </w:rPr>
        <w:t>。</w:t>
      </w:r>
    </w:p>
    <w:p>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pPr>
        <w:spacing w:line="460" w:lineRule="exact"/>
        <w:ind w:firstLine="480" w:firstLineChars="200"/>
        <w:rPr>
          <w:rFonts w:ascii="宋体" w:hAnsi="宋体"/>
          <w:color w:val="000000"/>
          <w:sz w:val="24"/>
        </w:rPr>
      </w:pPr>
      <w:bookmarkStart w:id="80" w:name="_Toc293581520"/>
      <w:bookmarkStart w:id="81" w:name="_Toc393898109"/>
      <w:bookmarkStart w:id="82" w:name="_Toc322448783"/>
      <w:bookmarkStart w:id="83" w:name="_Toc322598624"/>
      <w:bookmarkStart w:id="84"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pPr>
        <w:spacing w:line="460" w:lineRule="exact"/>
        <w:ind w:firstLine="480" w:firstLineChars="200"/>
        <w:rPr>
          <w:rFonts w:ascii="宋体" w:hAnsi="宋体"/>
          <w:color w:val="000000"/>
          <w:sz w:val="24"/>
        </w:rPr>
      </w:pPr>
      <w:r>
        <w:rPr>
          <w:rFonts w:hint="eastAsia" w:ascii="宋体" w:hAnsi="宋体"/>
          <w:color w:val="000000"/>
          <w:sz w:val="24"/>
        </w:rPr>
        <w:t>（四）本</w:t>
      </w:r>
      <w:r>
        <w:rPr>
          <w:rFonts w:hint="eastAsia" w:ascii="宋体" w:hAnsi="宋体"/>
          <w:color w:val="000000"/>
          <w:sz w:val="24"/>
          <w:lang w:val="en-US" w:eastAsia="zh-CN"/>
        </w:rPr>
        <w:t>单位</w:t>
      </w:r>
      <w:r>
        <w:rPr>
          <w:rFonts w:hint="eastAsia" w:ascii="宋体" w:hAnsi="宋体"/>
          <w:color w:val="000000"/>
          <w:sz w:val="24"/>
        </w:rPr>
        <w:t>将拒绝并原封退回在其规定的接收证明文件截止时刻后收到的任何证明文件。</w:t>
      </w:r>
    </w:p>
    <w:bookmarkEnd w:id="80"/>
    <w:bookmarkEnd w:id="81"/>
    <w:bookmarkEnd w:id="82"/>
    <w:bookmarkEnd w:id="83"/>
    <w:p>
      <w:pPr>
        <w:pStyle w:val="6"/>
        <w:numPr>
          <w:ilvl w:val="2"/>
          <w:numId w:val="0"/>
        </w:numPr>
        <w:spacing w:before="240" w:after="240" w:line="460" w:lineRule="exact"/>
        <w:rPr>
          <w:rFonts w:ascii="宋体" w:hAnsi="宋体"/>
          <w:color w:val="000000"/>
          <w:sz w:val="24"/>
          <w:szCs w:val="24"/>
        </w:rPr>
      </w:pPr>
      <w:bookmarkStart w:id="85" w:name="_Toc11480"/>
      <w:bookmarkStart w:id="86" w:name="_Toc5592"/>
      <w:bookmarkStart w:id="87" w:name="_Toc393898112"/>
      <w:bookmarkStart w:id="88" w:name="_Toc322448787"/>
      <w:bookmarkStart w:id="89" w:name="_Toc14185"/>
      <w:bookmarkStart w:id="90" w:name="_Toc24566"/>
      <w:bookmarkStart w:id="91" w:name="_Toc322598628"/>
      <w:bookmarkStart w:id="92" w:name="_Toc12122"/>
      <w:bookmarkStart w:id="93" w:name="_Toc26477"/>
      <w:bookmarkStart w:id="94" w:name="_Toc25922"/>
      <w:bookmarkStart w:id="95" w:name="_Toc10290"/>
      <w:r>
        <w:rPr>
          <w:rFonts w:hint="eastAsia" w:ascii="宋体" w:hAnsi="宋体"/>
          <w:color w:val="000000"/>
          <w:sz w:val="24"/>
          <w:szCs w:val="24"/>
        </w:rPr>
        <w:t>七、竞价方法及注意事项</w:t>
      </w:r>
      <w:bookmarkEnd w:id="84"/>
      <w:bookmarkEnd w:id="85"/>
      <w:bookmarkEnd w:id="86"/>
      <w:bookmarkEnd w:id="87"/>
      <w:bookmarkEnd w:id="88"/>
      <w:bookmarkEnd w:id="89"/>
      <w:bookmarkEnd w:id="90"/>
      <w:bookmarkEnd w:id="91"/>
      <w:bookmarkEnd w:id="92"/>
      <w:bookmarkEnd w:id="93"/>
      <w:bookmarkEnd w:id="94"/>
      <w:bookmarkEnd w:id="95"/>
    </w:p>
    <w:p>
      <w:pPr>
        <w:spacing w:line="460" w:lineRule="exact"/>
        <w:ind w:firstLine="480" w:firstLineChars="200"/>
        <w:rPr>
          <w:rFonts w:ascii="宋体" w:hAnsi="宋体"/>
          <w:color w:val="000000"/>
          <w:sz w:val="24"/>
        </w:rPr>
      </w:pPr>
      <w:bookmarkStart w:id="96" w:name="_Toc97978936"/>
      <w:bookmarkStart w:id="97" w:name="_Toc322598630"/>
      <w:bookmarkStart w:id="98" w:name="_Toc393898114"/>
      <w:bookmarkStart w:id="99" w:name="_Toc309216556"/>
      <w:bookmarkStart w:id="100" w:name="_Toc56240456"/>
      <w:bookmarkStart w:id="101" w:name="_Toc15596"/>
      <w:bookmarkStart w:id="102" w:name="_Toc322448789"/>
      <w:bookmarkStart w:id="103" w:name="_Toc293581526"/>
      <w:bookmarkStart w:id="104" w:name="_Toc293581525"/>
      <w:r>
        <w:rPr>
          <w:rFonts w:hint="eastAsia" w:ascii="宋体" w:hAnsi="宋体"/>
          <w:color w:val="000000"/>
          <w:sz w:val="24"/>
        </w:rPr>
        <w:t>（一）竞价原则</w:t>
      </w:r>
    </w:p>
    <w:p>
      <w:pPr>
        <w:spacing w:line="460" w:lineRule="exact"/>
        <w:ind w:firstLine="480" w:firstLineChars="200"/>
        <w:rPr>
          <w:rFonts w:hint="eastAsia"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pPr>
        <w:pStyle w:val="2"/>
        <w:numPr>
          <w:ilvl w:val="0"/>
          <w:numId w:val="7"/>
        </w:numPr>
        <w:ind w:left="42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以下情况视为无效报价</w:t>
      </w:r>
    </w:p>
    <w:p>
      <w:pPr>
        <w:pStyle w:val="3"/>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(1) 参与竞价的供应商报价超过预算金额的视为无效报价；</w:t>
      </w:r>
    </w:p>
    <w:p>
      <w:pPr>
        <w:pStyle w:val="3"/>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(2) 参与竞价的供应商须提供本项目要求的材料，如果不按公告规定提供符合要求的材料，将被视为无效报价；</w:t>
      </w:r>
    </w:p>
    <w:p>
      <w:pPr>
        <w:pStyle w:val="3"/>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(3) 参与竞价的供应商须对本项目采购内容进行整体报价，任何只对其中一部分内容进行的报价都被视为无效报价；</w:t>
      </w:r>
    </w:p>
    <w:p>
      <w:pPr>
        <w:pStyle w:val="3"/>
        <w:numPr>
          <w:ilvl w:val="-1"/>
          <w:numId w:val="0"/>
        </w:numPr>
        <w:ind w:left="420"/>
        <w:rPr>
          <w:rFonts w:hint="default"/>
          <w:highlight w:val="none"/>
          <w:lang w:val="en-US" w:eastAsia="zh-CN"/>
        </w:rPr>
      </w:pPr>
      <w:r>
        <w:rPr>
          <w:rFonts w:hint="default" w:hAnsi="宋体"/>
          <w:color w:val="000000"/>
          <w:kern w:val="2"/>
          <w:sz w:val="24"/>
          <w:szCs w:val="24"/>
          <w:highlight w:val="none"/>
          <w:lang w:val="en-US" w:eastAsia="zh-CN"/>
        </w:rPr>
        <w:t>(4) 报名材料必须加盖报价供应商公章，否则视为无效竞价资料；</w:t>
      </w:r>
    </w:p>
    <w:p>
      <w:pPr>
        <w:pStyle w:val="3"/>
        <w:numPr>
          <w:ilvl w:val="-1"/>
          <w:numId w:val="0"/>
        </w:numPr>
        <w:ind w:left="420"/>
        <w:rPr>
          <w:rFonts w:hint="default"/>
          <w:highlight w:val="none"/>
          <w:lang w:val="en-US" w:eastAsia="zh-CN"/>
        </w:rPr>
      </w:pP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）竞价的步骤及定标方法</w:t>
      </w:r>
    </w:p>
    <w:p>
      <w:pPr>
        <w:spacing w:line="460" w:lineRule="exact"/>
        <w:ind w:firstLine="482" w:firstLineChars="200"/>
        <w:rPr>
          <w:rFonts w:ascii="宋体" w:hAnsi="宋体"/>
          <w:b/>
          <w:bCs/>
          <w:sz w:val="24"/>
          <w:highlight w:val="none"/>
        </w:rPr>
      </w:pPr>
      <w:r>
        <w:rPr>
          <w:rFonts w:hint="eastAsia" w:ascii="宋体" w:hAnsi="宋体"/>
          <w:b/>
          <w:bCs/>
          <w:sz w:val="24"/>
          <w:highlight w:val="none"/>
        </w:rPr>
        <w:t>步骤：</w:t>
      </w:r>
    </w:p>
    <w:p>
      <w:pPr>
        <w:spacing w:line="460" w:lineRule="exact"/>
        <w:ind w:firstLine="480" w:firstLineChars="200"/>
        <w:rPr>
          <w:rFonts w:hint="eastAsia" w:ascii="宋体" w:hAnsi="宋体"/>
          <w:b w:val="0"/>
          <w:bCs w:val="0"/>
          <w:sz w:val="24"/>
          <w:highlight w:val="none"/>
        </w:rPr>
      </w:pPr>
      <w:r>
        <w:rPr>
          <w:rFonts w:hint="eastAsia" w:ascii="宋体" w:hAnsi="宋体"/>
          <w:sz w:val="24"/>
          <w:highlight w:val="none"/>
        </w:rPr>
        <w:t>竞投人必须填写好报价表，签名确认并打指模</w:t>
      </w:r>
      <w:r>
        <w:rPr>
          <w:rFonts w:hint="eastAsia" w:ascii="宋体" w:hAnsi="宋体"/>
          <w:b w:val="0"/>
          <w:bCs w:val="0"/>
          <w:sz w:val="24"/>
          <w:highlight w:val="none"/>
        </w:rPr>
        <w:t>（竞投报价的大、小写金额不一致的，以能辨认清晰的金额为准，若都能辨认清晰，则以数额大的金额为准）</w:t>
      </w:r>
      <w:r>
        <w:rPr>
          <w:rFonts w:hint="eastAsia" w:ascii="宋体" w:hAnsi="宋体"/>
          <w:sz w:val="24"/>
          <w:highlight w:val="none"/>
        </w:rPr>
        <w:t>并将报价表</w:t>
      </w:r>
      <w:r>
        <w:rPr>
          <w:rFonts w:hint="eastAsia" w:ascii="宋体" w:hAnsi="宋体"/>
          <w:sz w:val="24"/>
          <w:highlight w:val="none"/>
          <w:lang w:val="en-US" w:eastAsia="zh-CN"/>
        </w:rPr>
        <w:t>连同其余竞价资料竞价文件在规定时间内邮寄至采购人指定地点</w:t>
      </w:r>
      <w:r>
        <w:rPr>
          <w:rFonts w:hint="eastAsia" w:ascii="宋体" w:hAnsi="宋体"/>
          <w:sz w:val="24"/>
          <w:highlight w:val="none"/>
        </w:rPr>
        <w:t>。采购人</w:t>
      </w:r>
      <w:r>
        <w:rPr>
          <w:rFonts w:hint="eastAsia" w:ascii="宋体" w:hAnsi="宋体"/>
          <w:sz w:val="24"/>
          <w:highlight w:val="none"/>
          <w:lang w:val="en-US" w:eastAsia="zh-CN"/>
        </w:rPr>
        <w:t>将</w:t>
      </w:r>
      <w:r>
        <w:rPr>
          <w:rFonts w:hint="eastAsia" w:ascii="宋体" w:hAnsi="宋体"/>
          <w:sz w:val="24"/>
          <w:highlight w:val="none"/>
        </w:rPr>
        <w:t>派代表</w:t>
      </w:r>
      <w:r>
        <w:rPr>
          <w:rFonts w:hint="eastAsia" w:ascii="宋体" w:hAnsi="宋体"/>
          <w:sz w:val="24"/>
          <w:highlight w:val="none"/>
          <w:lang w:val="en-US" w:eastAsia="zh-CN"/>
        </w:rPr>
        <w:t>统一</w:t>
      </w:r>
      <w:r>
        <w:rPr>
          <w:rFonts w:hint="eastAsia" w:ascii="宋体" w:hAnsi="宋体"/>
          <w:sz w:val="24"/>
          <w:highlight w:val="none"/>
        </w:rPr>
        <w:t>开封</w:t>
      </w:r>
      <w:r>
        <w:rPr>
          <w:rFonts w:hint="eastAsia" w:ascii="宋体" w:hAnsi="宋体"/>
          <w:sz w:val="24"/>
          <w:highlight w:val="none"/>
          <w:lang w:val="en-US" w:eastAsia="zh-CN"/>
        </w:rPr>
        <w:t>竞价资料</w:t>
      </w:r>
      <w:r>
        <w:rPr>
          <w:rFonts w:hint="eastAsia" w:ascii="宋体" w:hAnsi="宋体"/>
          <w:sz w:val="24"/>
          <w:highlight w:val="none"/>
        </w:rPr>
        <w:t>，</w:t>
      </w:r>
      <w:r>
        <w:rPr>
          <w:rFonts w:hint="eastAsia" w:ascii="宋体" w:hAnsi="宋体"/>
          <w:sz w:val="24"/>
          <w:highlight w:val="none"/>
          <w:lang w:val="en-US" w:eastAsia="zh-CN"/>
        </w:rPr>
        <w:t>在评审小组核查是否满足竞投人准入条件后，对于符合准入条件的竞投人，</w:t>
      </w:r>
      <w:r>
        <w:rPr>
          <w:rFonts w:hint="eastAsia" w:ascii="宋体" w:hAnsi="宋体"/>
          <w:sz w:val="24"/>
          <w:highlight w:val="none"/>
        </w:rPr>
        <w:t>监督主持人统一读出报价，一般最低有效报价的竞投人为竞得人，竞得人须与采购人（代表）签署《成交确认书》。</w:t>
      </w:r>
    </w:p>
    <w:p>
      <w:pPr>
        <w:spacing w:line="460" w:lineRule="exact"/>
        <w:ind w:firstLine="482" w:firstLineChars="200"/>
        <w:rPr>
          <w:rFonts w:ascii="宋体" w:hAnsi="宋体"/>
          <w:b/>
          <w:bCs/>
          <w:sz w:val="24"/>
          <w:highlight w:val="none"/>
        </w:rPr>
      </w:pPr>
      <w:r>
        <w:rPr>
          <w:rFonts w:hint="eastAsia" w:ascii="宋体" w:hAnsi="宋体"/>
          <w:b/>
          <w:bCs/>
          <w:sz w:val="24"/>
          <w:highlight w:val="none"/>
        </w:rPr>
        <w:t>2、确定竞得人的原则:</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（一）如有三位或以上合资格竞投人参与竞价，则按照价低者得原则确定竞得人。</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（二）若无人报名或少于三位</w:t>
      </w:r>
      <w:r>
        <w:rPr>
          <w:rFonts w:hint="eastAsia" w:ascii="宋体" w:hAnsi="宋体" w:cs="宋体"/>
          <w:color w:val="000000"/>
          <w:kern w:val="0"/>
          <w:sz w:val="24"/>
          <w:highlight w:val="none"/>
          <w:lang w:val="en-US" w:eastAsia="zh-CN"/>
        </w:rPr>
        <w:t>符合竞投人准入条件</w:t>
      </w:r>
      <w:r>
        <w:rPr>
          <w:rFonts w:hint="eastAsia" w:ascii="宋体" w:hAnsi="宋体" w:cs="宋体"/>
          <w:color w:val="000000"/>
          <w:kern w:val="0"/>
          <w:sz w:val="24"/>
          <w:highlight w:val="none"/>
        </w:rPr>
        <w:t>的竞投人，</w:t>
      </w:r>
      <w:r>
        <w:rPr>
          <w:rFonts w:hint="eastAsia" w:ascii="宋体" w:hAnsi="宋体" w:cs="宋体"/>
          <w:color w:val="000000"/>
          <w:kern w:val="0"/>
          <w:sz w:val="24"/>
          <w:highlight w:val="none"/>
          <w:lang w:val="en-US" w:eastAsia="zh-CN"/>
        </w:rPr>
        <w:t>本次竞价活动取消，另行组织竞价</w:t>
      </w:r>
      <w:r>
        <w:rPr>
          <w:rFonts w:hint="eastAsia" w:ascii="宋体" w:hAnsi="宋体" w:cs="宋体"/>
          <w:color w:val="000000"/>
          <w:kern w:val="0"/>
          <w:sz w:val="24"/>
          <w:highlight w:val="none"/>
        </w:rPr>
        <w:t>。</w:t>
      </w:r>
    </w:p>
    <w:p>
      <w:pPr>
        <w:pStyle w:val="6"/>
        <w:numPr>
          <w:ilvl w:val="2"/>
          <w:numId w:val="0"/>
        </w:numPr>
        <w:spacing w:before="240" w:after="240" w:line="460" w:lineRule="exact"/>
        <w:rPr>
          <w:rFonts w:ascii="宋体" w:hAnsi="宋体"/>
          <w:color w:val="000000"/>
          <w:sz w:val="24"/>
          <w:szCs w:val="24"/>
          <w:highlight w:val="none"/>
        </w:rPr>
      </w:pPr>
      <w:bookmarkStart w:id="105" w:name="_Toc11745"/>
      <w:bookmarkStart w:id="106" w:name="_Toc27357"/>
      <w:bookmarkStart w:id="107" w:name="_Toc26520"/>
      <w:bookmarkStart w:id="108" w:name="_Toc19763"/>
      <w:bookmarkStart w:id="109" w:name="_Toc12446"/>
      <w:bookmarkStart w:id="110" w:name="_Toc8656"/>
      <w:bookmarkStart w:id="111" w:name="_Toc6781"/>
      <w:r>
        <w:rPr>
          <w:rFonts w:hint="eastAsia" w:ascii="宋体" w:hAnsi="宋体"/>
          <w:color w:val="000000"/>
          <w:sz w:val="24"/>
          <w:szCs w:val="24"/>
          <w:highlight w:val="none"/>
        </w:rPr>
        <w:t>八、成交确认书</w:t>
      </w:r>
      <w:bookmarkEnd w:id="96"/>
      <w:bookmarkEnd w:id="97"/>
      <w:bookmarkEnd w:id="98"/>
      <w:bookmarkEnd w:id="99"/>
      <w:bookmarkEnd w:id="100"/>
      <w:bookmarkEnd w:id="101"/>
      <w:bookmarkEnd w:id="102"/>
      <w:bookmarkEnd w:id="103"/>
      <w:bookmarkEnd w:id="105"/>
      <w:bookmarkEnd w:id="106"/>
      <w:bookmarkEnd w:id="107"/>
      <w:bookmarkEnd w:id="108"/>
      <w:bookmarkEnd w:id="109"/>
      <w:bookmarkEnd w:id="110"/>
      <w:bookmarkEnd w:id="111"/>
    </w:p>
    <w:p>
      <w:pPr>
        <w:spacing w:line="460" w:lineRule="exact"/>
        <w:ind w:firstLine="480" w:firstLineChars="200"/>
        <w:rPr>
          <w:rFonts w:ascii="宋体" w:hAnsi="宋体"/>
          <w:color w:val="000000"/>
          <w:sz w:val="24"/>
        </w:rPr>
      </w:pPr>
      <w:r>
        <w:rPr>
          <w:rFonts w:hint="eastAsia" w:ascii="宋体" w:hAnsi="宋体"/>
          <w:color w:val="000000"/>
          <w:sz w:val="24"/>
        </w:rPr>
        <w:t>（一）确定竞得人后，竞得人须签订《成交确认书》。</w:t>
      </w:r>
    </w:p>
    <w:p>
      <w:pPr>
        <w:spacing w:line="460" w:lineRule="exact"/>
        <w:ind w:firstLine="480" w:firstLineChars="200"/>
        <w:rPr>
          <w:rFonts w:ascii="宋体" w:hAnsi="宋体"/>
          <w:color w:val="000000"/>
          <w:sz w:val="24"/>
        </w:rPr>
      </w:pPr>
      <w:r>
        <w:rPr>
          <w:rFonts w:hint="eastAsia" w:ascii="宋体" w:hAnsi="宋体"/>
          <w:color w:val="000000"/>
          <w:sz w:val="24"/>
        </w:rPr>
        <w:t>（二）经本</w:t>
      </w:r>
      <w:r>
        <w:rPr>
          <w:rFonts w:hint="eastAsia" w:ascii="宋体" w:hAnsi="宋体"/>
          <w:color w:val="000000"/>
          <w:sz w:val="24"/>
          <w:lang w:val="en-US" w:eastAsia="zh-CN"/>
        </w:rPr>
        <w:t>单位</w:t>
      </w:r>
      <w:r>
        <w:rPr>
          <w:rFonts w:hint="eastAsia" w:ascii="宋体" w:hAnsi="宋体"/>
          <w:color w:val="000000"/>
          <w:sz w:val="24"/>
        </w:rPr>
        <w:t>和竞得方盖章确认后，本</w:t>
      </w:r>
      <w:r>
        <w:rPr>
          <w:rFonts w:hint="eastAsia" w:ascii="宋体" w:hAnsi="宋体"/>
          <w:color w:val="000000"/>
          <w:sz w:val="24"/>
          <w:lang w:val="en-US" w:eastAsia="zh-CN"/>
        </w:rPr>
        <w:t>单位</w:t>
      </w:r>
      <w:r>
        <w:rPr>
          <w:rFonts w:hint="eastAsia" w:ascii="宋体" w:hAnsi="宋体"/>
          <w:color w:val="000000"/>
          <w:sz w:val="24"/>
        </w:rPr>
        <w:t>将向竞得人发出《成交确认书》。</w:t>
      </w:r>
    </w:p>
    <w:bookmarkEnd w:id="104"/>
    <w:p>
      <w:pPr>
        <w:pStyle w:val="6"/>
        <w:numPr>
          <w:ilvl w:val="2"/>
          <w:numId w:val="0"/>
        </w:numPr>
        <w:spacing w:before="240" w:after="240" w:line="460" w:lineRule="exact"/>
        <w:rPr>
          <w:rFonts w:ascii="宋体" w:hAnsi="宋体"/>
          <w:color w:val="000000"/>
          <w:sz w:val="24"/>
          <w:szCs w:val="24"/>
        </w:rPr>
      </w:pPr>
      <w:bookmarkStart w:id="112" w:name="_Toc97978933"/>
      <w:bookmarkStart w:id="113" w:name="_Toc322598629"/>
      <w:bookmarkStart w:id="114" w:name="_Toc28072"/>
      <w:bookmarkStart w:id="115" w:name="_Toc393898113"/>
      <w:bookmarkStart w:id="116" w:name="_Toc16756"/>
      <w:bookmarkStart w:id="117" w:name="_Toc322448788"/>
      <w:bookmarkStart w:id="118" w:name="_Toc24685"/>
      <w:bookmarkStart w:id="119" w:name="_Toc11467"/>
      <w:bookmarkStart w:id="120" w:name="_Toc29903"/>
      <w:bookmarkStart w:id="121" w:name="_Toc5202"/>
      <w:bookmarkStart w:id="122" w:name="_Toc11972"/>
      <w:bookmarkStart w:id="123" w:name="_Toc16033"/>
      <w:r>
        <w:rPr>
          <w:rFonts w:hint="eastAsia" w:ascii="宋体" w:hAnsi="宋体"/>
          <w:color w:val="000000"/>
          <w:sz w:val="24"/>
          <w:szCs w:val="24"/>
        </w:rPr>
        <w:t>九、竞价结果公</w:t>
      </w:r>
      <w:bookmarkEnd w:id="112"/>
      <w:r>
        <w:rPr>
          <w:rFonts w:hint="eastAsia" w:ascii="宋体" w:hAnsi="宋体"/>
          <w:color w:val="000000"/>
          <w:sz w:val="24"/>
          <w:szCs w:val="24"/>
        </w:rPr>
        <w:t>告</w:t>
      </w:r>
      <w:bookmarkEnd w:id="113"/>
      <w:bookmarkEnd w:id="114"/>
      <w:bookmarkEnd w:id="115"/>
      <w:bookmarkEnd w:id="116"/>
      <w:bookmarkEnd w:id="117"/>
      <w:bookmarkEnd w:id="118"/>
      <w:bookmarkEnd w:id="119"/>
      <w:bookmarkEnd w:id="120"/>
      <w:bookmarkEnd w:id="121"/>
      <w:bookmarkEnd w:id="122"/>
      <w:bookmarkEnd w:id="123"/>
    </w:p>
    <w:p>
      <w:pPr>
        <w:spacing w:line="460" w:lineRule="exact"/>
        <w:ind w:firstLine="480" w:firstLineChars="200"/>
        <w:rPr>
          <w:rFonts w:ascii="宋体" w:hAnsi="宋体"/>
          <w:color w:val="000000"/>
          <w:sz w:val="24"/>
        </w:rPr>
      </w:pPr>
      <w:bookmarkStart w:id="124" w:name="_Toc393898115"/>
      <w:bookmarkStart w:id="125" w:name="_Toc293581527"/>
      <w:bookmarkStart w:id="126" w:name="_Ref74374887"/>
      <w:bookmarkStart w:id="127" w:name="_Toc322598631"/>
      <w:bookmarkStart w:id="128" w:name="_Ref76960151"/>
      <w:bookmarkStart w:id="129" w:name="_Ref76960126"/>
      <w:bookmarkStart w:id="130" w:name="_Toc56240457"/>
      <w:bookmarkStart w:id="131" w:name="_Toc322448790"/>
      <w:bookmarkStart w:id="132" w:name="_Toc3625"/>
      <w:bookmarkStart w:id="133" w:name="_Toc97978938"/>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5"/>
        </w:rPr>
        <w:t>https://www.gdsdtjy.com/</w:t>
      </w:r>
      <w:r>
        <w:rPr>
          <w:rStyle w:val="35"/>
        </w:rP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pPr>
        <w:pStyle w:val="6"/>
        <w:numPr>
          <w:ilvl w:val="2"/>
          <w:numId w:val="0"/>
        </w:numPr>
        <w:spacing w:before="240" w:after="240" w:line="460" w:lineRule="exact"/>
        <w:rPr>
          <w:rFonts w:ascii="宋体" w:hAnsi="宋体"/>
          <w:color w:val="000000"/>
          <w:sz w:val="24"/>
          <w:szCs w:val="24"/>
        </w:rPr>
      </w:pPr>
      <w:bookmarkStart w:id="134" w:name="_Toc14672"/>
      <w:bookmarkStart w:id="135" w:name="_Toc16726"/>
      <w:bookmarkStart w:id="136" w:name="_Toc18007"/>
      <w:bookmarkStart w:id="137" w:name="_Toc23455"/>
      <w:bookmarkStart w:id="138" w:name="_Toc16520"/>
      <w:bookmarkStart w:id="139" w:name="_Toc1302"/>
      <w:bookmarkStart w:id="140" w:name="_Toc20377"/>
      <w:r>
        <w:rPr>
          <w:rFonts w:hint="eastAsia" w:ascii="宋体" w:hAnsi="宋体"/>
          <w:color w:val="000000"/>
          <w:sz w:val="24"/>
          <w:szCs w:val="24"/>
        </w:rPr>
        <w:t>十、签订合同</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460" w:lineRule="exact"/>
        <w:ind w:firstLine="480" w:firstLineChars="200"/>
        <w:rPr>
          <w:rFonts w:ascii="宋体" w:hAnsi="宋体"/>
          <w:color w:val="000000"/>
          <w:sz w:val="24"/>
        </w:rPr>
      </w:pPr>
      <w:r>
        <w:rPr>
          <w:rFonts w:hint="eastAsia" w:ascii="宋体" w:hAnsi="宋体"/>
          <w:color w:val="000000"/>
          <w:sz w:val="24"/>
        </w:rPr>
        <w:t>（一）竞得人应按《成交确认书》指定的时间、地点与需方签订合同。</w:t>
      </w:r>
    </w:p>
    <w:p>
      <w:pPr>
        <w:spacing w:line="460" w:lineRule="exact"/>
        <w:ind w:firstLine="480" w:firstLineChars="200"/>
        <w:rPr>
          <w:rFonts w:ascii="宋体" w:hAnsi="宋体"/>
          <w:color w:val="000000"/>
          <w:sz w:val="24"/>
        </w:rPr>
      </w:pPr>
      <w:r>
        <w:rPr>
          <w:rFonts w:hint="eastAsia" w:ascii="宋体" w:hAnsi="宋体"/>
          <w:color w:val="000000"/>
          <w:sz w:val="24"/>
        </w:rPr>
        <w:t>（二）《竞价文件》、竞投人的《证明文件》及其竞价补充文件等，均为签订合同的依据。</w:t>
      </w:r>
    </w:p>
    <w:p>
      <w:pPr>
        <w:spacing w:line="460" w:lineRule="exact"/>
        <w:ind w:firstLine="480" w:firstLineChars="200"/>
        <w:rPr>
          <w:rFonts w:ascii="宋体" w:hAnsi="宋体"/>
          <w:color w:val="000000"/>
          <w:sz w:val="24"/>
        </w:rPr>
      </w:pPr>
      <w:r>
        <w:rPr>
          <w:rFonts w:hint="eastAsia" w:ascii="宋体" w:hAnsi="宋体"/>
          <w:color w:val="000000"/>
          <w:sz w:val="24"/>
        </w:rPr>
        <w:t>（三）签订合同时间：在发出《成交确认书》后，如在成交结果公示期间无质疑或投诉，则在成交结果公示结束后竞得人必须在《成交确认书》约定的时间内凭《成交确认书》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pPr>
        <w:pStyle w:val="6"/>
        <w:numPr>
          <w:ilvl w:val="2"/>
          <w:numId w:val="0"/>
        </w:numPr>
        <w:spacing w:before="240" w:after="240" w:line="460" w:lineRule="exact"/>
        <w:ind w:firstLine="420"/>
        <w:rPr>
          <w:rFonts w:ascii="宋体" w:hAnsi="宋体"/>
          <w:color w:val="000000"/>
          <w:sz w:val="24"/>
          <w:szCs w:val="24"/>
        </w:rPr>
      </w:pPr>
      <w:bookmarkStart w:id="141" w:name="_Toc5733"/>
      <w:bookmarkStart w:id="142" w:name="_Toc142"/>
      <w:bookmarkStart w:id="143" w:name="_Toc9789"/>
      <w:bookmarkStart w:id="144" w:name="_Toc26340"/>
      <w:bookmarkStart w:id="145" w:name="_Toc19500"/>
      <w:bookmarkStart w:id="146" w:name="_Toc10102"/>
      <w:bookmarkStart w:id="147" w:name="_Toc1212"/>
      <w:bookmarkStart w:id="148" w:name="_Toc8748"/>
      <w:r>
        <w:rPr>
          <w:rFonts w:hint="eastAsia" w:ascii="宋体" w:hAnsi="宋体"/>
          <w:color w:val="000000"/>
          <w:sz w:val="24"/>
          <w:szCs w:val="24"/>
        </w:rPr>
        <w:t>十一、处罚机制</w:t>
      </w:r>
      <w:bookmarkEnd w:id="141"/>
      <w:bookmarkEnd w:id="142"/>
      <w:bookmarkEnd w:id="143"/>
      <w:bookmarkEnd w:id="144"/>
      <w:bookmarkEnd w:id="145"/>
      <w:bookmarkEnd w:id="146"/>
      <w:bookmarkEnd w:id="147"/>
      <w:bookmarkEnd w:id="148"/>
    </w:p>
    <w:p>
      <w:pPr>
        <w:pStyle w:val="68"/>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pPr>
        <w:spacing w:line="460" w:lineRule="exact"/>
        <w:ind w:firstLine="480" w:firstLineChars="200"/>
        <w:rPr>
          <w:rFonts w:ascii="宋体" w:hAnsi="宋体"/>
          <w:bCs/>
          <w:color w:val="000000"/>
          <w:sz w:val="24"/>
        </w:rPr>
      </w:pPr>
      <w:r>
        <w:rPr>
          <w:rFonts w:hint="eastAsia" w:ascii="宋体" w:hAnsi="宋体"/>
          <w:bCs/>
          <w:color w:val="000000"/>
          <w:sz w:val="24"/>
          <w:lang w:val="en-US" w:eastAsia="zh-CN"/>
        </w:rPr>
        <w:t>4</w:t>
      </w:r>
      <w:r>
        <w:rPr>
          <w:rFonts w:hint="eastAsia" w:ascii="宋体" w:hAnsi="宋体"/>
          <w:bCs/>
          <w:color w:val="000000"/>
          <w:sz w:val="24"/>
        </w:rPr>
        <w:t>、竞得人竞得标的物后反悔的（包括但不限于放弃该项目的成交权、拒绝签订《成交确认书》、拒绝签订合同）；</w:t>
      </w:r>
    </w:p>
    <w:p>
      <w:pPr>
        <w:spacing w:line="460" w:lineRule="exact"/>
        <w:ind w:firstLine="480" w:firstLineChars="200"/>
        <w:rPr>
          <w:rFonts w:ascii="宋体" w:hAnsi="宋体"/>
          <w:bCs/>
          <w:color w:val="000000"/>
          <w:sz w:val="24"/>
        </w:rPr>
      </w:pPr>
      <w:r>
        <w:rPr>
          <w:rFonts w:hint="eastAsia" w:ascii="宋体" w:hAnsi="宋体"/>
          <w:bCs/>
          <w:color w:val="000000"/>
          <w:sz w:val="24"/>
          <w:lang w:val="en-US" w:eastAsia="zh-CN"/>
        </w:rPr>
        <w:t>5</w:t>
      </w:r>
      <w:r>
        <w:rPr>
          <w:rFonts w:hint="eastAsia" w:ascii="宋体" w:hAnsi="宋体"/>
          <w:bCs/>
          <w:color w:val="000000"/>
          <w:sz w:val="24"/>
        </w:rPr>
        <w:t>、其他法律法规规定的情形。</w:t>
      </w:r>
    </w:p>
    <w:p>
      <w:pPr>
        <w:pStyle w:val="6"/>
        <w:numPr>
          <w:ilvl w:val="2"/>
          <w:numId w:val="0"/>
        </w:numPr>
        <w:spacing w:before="240" w:after="240" w:line="460" w:lineRule="exact"/>
        <w:rPr>
          <w:rFonts w:ascii="宋体" w:hAnsi="宋体"/>
          <w:color w:val="000000"/>
          <w:sz w:val="24"/>
          <w:szCs w:val="24"/>
        </w:rPr>
      </w:pPr>
      <w:bookmarkStart w:id="149" w:name="_Toc32451"/>
      <w:bookmarkStart w:id="150" w:name="_Toc13996"/>
      <w:bookmarkStart w:id="151" w:name="_Toc6742"/>
      <w:bookmarkStart w:id="152" w:name="_Toc15207"/>
      <w:bookmarkStart w:id="153" w:name="_Toc9688"/>
      <w:bookmarkStart w:id="154" w:name="_Toc10646"/>
      <w:bookmarkStart w:id="155" w:name="_Toc18784"/>
      <w:bookmarkStart w:id="156" w:name="_Toc32346"/>
      <w:r>
        <w:rPr>
          <w:rFonts w:hint="eastAsia" w:ascii="宋体" w:hAnsi="宋体"/>
          <w:color w:val="000000"/>
          <w:sz w:val="24"/>
          <w:szCs w:val="24"/>
        </w:rPr>
        <w:t>十二、其他注意事项</w:t>
      </w:r>
      <w:bookmarkEnd w:id="149"/>
      <w:bookmarkEnd w:id="150"/>
      <w:bookmarkEnd w:id="151"/>
      <w:bookmarkEnd w:id="152"/>
      <w:bookmarkEnd w:id="153"/>
      <w:bookmarkEnd w:id="154"/>
      <w:bookmarkEnd w:id="155"/>
      <w:bookmarkEnd w:id="156"/>
    </w:p>
    <w:p>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pPr>
        <w:spacing w:line="460" w:lineRule="exact"/>
        <w:ind w:firstLine="480" w:firstLineChars="200"/>
        <w:rPr>
          <w:rFonts w:ascii="宋体" w:hAnsi="宋体"/>
          <w:color w:val="000000"/>
          <w:sz w:val="24"/>
        </w:rPr>
      </w:pPr>
      <w:r>
        <w:rPr>
          <w:rFonts w:hint="eastAsia" w:ascii="宋体" w:hAnsi="宋体"/>
          <w:color w:val="000000"/>
          <w:sz w:val="24"/>
        </w:rPr>
        <w:t>（四）本单位不向落选竞投人解释落选原因。</w:t>
      </w:r>
    </w:p>
    <w:p>
      <w:pPr>
        <w:pStyle w:val="4"/>
        <w:spacing w:line="360" w:lineRule="auto"/>
        <w:jc w:val="center"/>
        <w:rPr>
          <w:rFonts w:ascii="宋体" w:hAnsi="宋体"/>
          <w:color w:val="000000"/>
          <w:sz w:val="72"/>
          <w:szCs w:val="72"/>
        </w:rPr>
      </w:pPr>
      <w:r>
        <w:rPr>
          <w:rFonts w:ascii="宋体" w:hAnsi="宋体"/>
          <w:color w:val="000000"/>
          <w:sz w:val="72"/>
          <w:szCs w:val="72"/>
        </w:rPr>
        <w:br w:type="page"/>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4"/>
        <w:spacing w:line="360" w:lineRule="auto"/>
        <w:jc w:val="center"/>
        <w:rPr>
          <w:rFonts w:ascii="宋体" w:hAnsi="宋体"/>
          <w:color w:val="000000"/>
          <w:sz w:val="72"/>
          <w:szCs w:val="72"/>
        </w:rPr>
      </w:pPr>
      <w:bookmarkStart w:id="157" w:name="_Toc8900"/>
      <w:bookmarkStart w:id="158" w:name="_Toc10454"/>
      <w:bookmarkStart w:id="159" w:name="_Toc702"/>
      <w:bookmarkStart w:id="160" w:name="_Toc10644"/>
      <w:bookmarkStart w:id="161" w:name="_Toc18043"/>
      <w:bookmarkStart w:id="162" w:name="_Toc21977"/>
      <w:bookmarkStart w:id="163" w:name="_Toc11155"/>
      <w:bookmarkStart w:id="164" w:name="_Toc9016"/>
      <w:r>
        <w:rPr>
          <w:rFonts w:hint="eastAsia" w:ascii="宋体" w:hAnsi="宋体"/>
          <w:color w:val="000000"/>
          <w:sz w:val="72"/>
          <w:szCs w:val="72"/>
        </w:rPr>
        <w:t>第三章 合同格式</w:t>
      </w:r>
      <w:bookmarkEnd w:id="157"/>
      <w:bookmarkEnd w:id="158"/>
      <w:bookmarkEnd w:id="159"/>
      <w:bookmarkEnd w:id="160"/>
      <w:bookmarkEnd w:id="161"/>
      <w:bookmarkEnd w:id="162"/>
      <w:bookmarkEnd w:id="163"/>
      <w:bookmarkEnd w:id="164"/>
    </w:p>
    <w:p>
      <w:pPr>
        <w:pStyle w:val="23"/>
        <w:jc w:val="left"/>
        <w:rPr>
          <w:rFonts w:hAnsi="宋体"/>
          <w:color w:val="000000"/>
          <w:sz w:val="24"/>
        </w:rPr>
      </w:pPr>
      <w:r>
        <w:rPr>
          <w:rFonts w:hAnsi="宋体"/>
          <w:color w:val="000000"/>
          <w:sz w:val="28"/>
        </w:rPr>
        <w:br w:type="page"/>
      </w:r>
      <w:bookmarkStart w:id="165" w:name="_Toc322448792"/>
      <w:r>
        <w:rPr>
          <w:rFonts w:hAnsi="宋体"/>
          <w:color w:val="000000"/>
          <w:sz w:val="24"/>
        </w:rPr>
        <w:t>质量体系文件编号：GDSEI/</w:t>
      </w:r>
      <w:r>
        <w:rPr>
          <w:rFonts w:hint="eastAsia" w:hAnsi="宋体"/>
          <w:color w:val="000000"/>
          <w:sz w:val="24"/>
        </w:rPr>
        <w:t>PMG-11-R03-3.00</w:t>
      </w:r>
    </w:p>
    <w:p>
      <w:pPr>
        <w:rPr>
          <w:rFonts w:ascii="宋体" w:hAnsi="宋体"/>
          <w:color w:val="000000"/>
          <w:sz w:val="24"/>
        </w:rPr>
      </w:pPr>
    </w:p>
    <w:bookmarkEnd w:id="165"/>
    <w:p>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pPr>
        <w:adjustRightInd w:val="0"/>
        <w:spacing w:line="300" w:lineRule="exact"/>
        <w:jc w:val="center"/>
        <w:rPr>
          <w:rFonts w:ascii="宋体" w:hAnsi="宋体"/>
          <w:color w:val="000000"/>
          <w:sz w:val="24"/>
        </w:rPr>
      </w:pPr>
      <w:r>
        <w:rPr>
          <w:rFonts w:ascii="宋体" w:hAnsi="宋体"/>
          <w:color w:val="000000"/>
          <w:sz w:val="24"/>
        </w:rPr>
        <w:t>（合同编号：　　　　　　）</w:t>
      </w:r>
    </w:p>
    <w:p>
      <w:pPr>
        <w:adjustRightInd w:val="0"/>
        <w:spacing w:line="380" w:lineRule="exact"/>
        <w:rPr>
          <w:rFonts w:ascii="宋体" w:hAnsi="宋体"/>
          <w:color w:val="000000"/>
          <w:sz w:val="24"/>
        </w:rPr>
      </w:pPr>
      <w:r>
        <w:rPr>
          <w:rFonts w:ascii="宋体" w:hAnsi="宋体"/>
          <w:color w:val="000000"/>
          <w:sz w:val="24"/>
        </w:rPr>
        <w:t>需方：</w:t>
      </w:r>
    </w:p>
    <w:p>
      <w:pPr>
        <w:adjustRightInd w:val="0"/>
        <w:spacing w:line="380" w:lineRule="exact"/>
        <w:rPr>
          <w:rFonts w:ascii="宋体" w:hAnsi="宋体"/>
          <w:color w:val="000000"/>
          <w:sz w:val="24"/>
        </w:rPr>
      </w:pPr>
      <w:r>
        <w:rPr>
          <w:rFonts w:ascii="宋体" w:hAnsi="宋体"/>
          <w:color w:val="000000"/>
          <w:sz w:val="24"/>
        </w:rPr>
        <w:t xml:space="preserve">供方：                      </w:t>
      </w:r>
    </w:p>
    <w:p>
      <w:pPr>
        <w:numPr>
          <w:ilvl w:val="0"/>
          <w:numId w:val="8"/>
        </w:numPr>
        <w:adjustRightInd w:val="0"/>
        <w:spacing w:line="360" w:lineRule="exact"/>
        <w:rPr>
          <w:rFonts w:ascii="宋体" w:hAnsi="宋体"/>
          <w:color w:val="000000"/>
          <w:sz w:val="24"/>
        </w:rPr>
      </w:pPr>
      <w:r>
        <w:rPr>
          <w:rFonts w:ascii="宋体" w:hAnsi="宋体"/>
          <w:color w:val="000000"/>
          <w:sz w:val="24"/>
        </w:rPr>
        <w:t>合同标的、数量、价款等：</w:t>
      </w:r>
    </w:p>
    <w:p>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w:t>
      </w:r>
      <w:r>
        <w:rPr>
          <w:rFonts w:hint="eastAsia" w:ascii="宋体" w:hAnsi="宋体"/>
          <w:color w:val="000000"/>
          <w:sz w:val="24"/>
        </w:rPr>
        <w:t>（货物待定）</w:t>
      </w:r>
      <w:r>
        <w:rPr>
          <w:rFonts w:ascii="宋体" w:hAnsi="宋体"/>
          <w:color w:val="000000"/>
          <w:sz w:val="24"/>
        </w:rPr>
        <w:t>的设计、制造、包装、仓储、运输、保险以及供方进行的安装、调试、试运行、验收、培训、技术服务（包括技术资料、图纸的提供）、质保期保障服务等全部含税费用。</w:t>
      </w:r>
    </w:p>
    <w:p>
      <w:pPr>
        <w:pStyle w:val="2"/>
      </w:pPr>
    </w:p>
    <w:p>
      <w:pPr>
        <w:adjustRightInd w:val="0"/>
        <w:snapToGrid w:val="0"/>
        <w:spacing w:line="340" w:lineRule="exact"/>
        <w:ind w:firstLine="480" w:firstLineChars="200"/>
        <w:rPr>
          <w:rFonts w:hint="default" w:ascii="宋体" w:hAnsi="宋体"/>
          <w:color w:val="auto"/>
          <w:sz w:val="24"/>
          <w:highlight w:val="none"/>
          <w:lang w:val="en-US"/>
        </w:rPr>
      </w:pPr>
      <w:r>
        <w:rPr>
          <w:rFonts w:ascii="宋体" w:hAnsi="宋体"/>
          <w:color w:val="auto"/>
          <w:sz w:val="24"/>
          <w:highlight w:val="none"/>
        </w:rPr>
        <w:t>二、质量要求、技术标准：按相关国家标准</w:t>
      </w:r>
      <w:r>
        <w:rPr>
          <w:rFonts w:hint="default" w:ascii="宋体" w:hAnsi="宋体"/>
          <w:color w:val="auto"/>
          <w:sz w:val="24"/>
          <w:highlight w:val="none"/>
          <w:lang w:val="en-US" w:eastAsia="zh-CN"/>
        </w:rPr>
        <w:t>GB/T5099.1</w:t>
      </w:r>
      <w:r>
        <w:rPr>
          <w:rFonts w:ascii="宋体" w:hAnsi="宋体"/>
          <w:color w:val="auto"/>
          <w:sz w:val="24"/>
          <w:highlight w:val="none"/>
        </w:rPr>
        <w:t>和厂方出厂技术要求</w:t>
      </w:r>
      <w:r>
        <w:rPr>
          <w:rFonts w:hint="default" w:ascii="宋体" w:hAnsi="宋体"/>
          <w:color w:val="auto"/>
          <w:sz w:val="24"/>
          <w:highlight w:val="none"/>
          <w:lang w:eastAsia="zh-CN"/>
        </w:rPr>
        <w:t>，</w:t>
      </w:r>
      <w:r>
        <w:rPr>
          <w:rFonts w:hint="default" w:ascii="宋体" w:hAnsi="宋体"/>
          <w:color w:val="auto"/>
          <w:sz w:val="24"/>
          <w:highlight w:val="none"/>
          <w:lang w:val="en-US" w:eastAsia="zh-CN"/>
        </w:rPr>
        <w:t>气瓶需配备开放式瓶帽，瓶口塑封，瓶身干净整洁，不存在腐蚀生锈和保护层脱落等情况。</w:t>
      </w:r>
    </w:p>
    <w:p>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三、供方对质量负责的条件及期限：产品质保</w:t>
      </w:r>
      <w:r>
        <w:rPr>
          <w:rFonts w:hint="eastAsia" w:ascii="宋体" w:hAnsi="宋体"/>
          <w:color w:val="000000"/>
          <w:sz w:val="24"/>
          <w:highlight w:val="none"/>
        </w:rPr>
        <w:t>期1</w:t>
      </w:r>
      <w:r>
        <w:rPr>
          <w:rFonts w:ascii="宋体" w:hAnsi="宋体"/>
          <w:color w:val="000000"/>
          <w:sz w:val="24"/>
          <w:highlight w:val="none"/>
        </w:rPr>
        <w:t>年，</w:t>
      </w:r>
      <w:r>
        <w:rPr>
          <w:rFonts w:hint="eastAsia" w:ascii="宋体" w:hAnsi="宋体"/>
          <w:color w:val="000000"/>
          <w:sz w:val="24"/>
          <w:highlight w:val="none"/>
        </w:rPr>
        <w:t>产品质保期自产品验收合格之日起开始计算；</w:t>
      </w:r>
      <w:r>
        <w:rPr>
          <w:rFonts w:ascii="宋体" w:hAnsi="宋体"/>
          <w:color w:val="000000"/>
          <w:sz w:val="24"/>
          <w:highlight w:val="none"/>
        </w:rPr>
        <w:t>质保期内产品如有质量问题，由供方负责无偿保修（由需方操作不当的除外），</w:t>
      </w:r>
      <w:r>
        <w:rPr>
          <w:rFonts w:hint="eastAsia" w:ascii="宋体" w:hAnsi="宋体"/>
          <w:color w:val="000000"/>
          <w:sz w:val="24"/>
          <w:highlight w:val="none"/>
        </w:rPr>
        <w:t>1</w:t>
      </w:r>
      <w:r>
        <w:rPr>
          <w:rFonts w:ascii="宋体" w:hAnsi="宋体"/>
          <w:color w:val="000000"/>
          <w:sz w:val="24"/>
          <w:highlight w:val="none"/>
        </w:rPr>
        <w:t>年后供方负责有偿维修。</w:t>
      </w:r>
      <w:r>
        <w:rPr>
          <w:rFonts w:hint="eastAsia" w:ascii="宋体" w:hAnsi="宋体"/>
          <w:color w:val="000000"/>
          <w:sz w:val="24"/>
          <w:highlight w:val="none"/>
        </w:rPr>
        <w:t>产品有重大质量问题以致影响需方使用的，且非需方使用不当造成，需方有权要求更换全新产品，并由供方承担全部费用，</w:t>
      </w:r>
      <w:r>
        <w:rPr>
          <w:rFonts w:ascii="宋体" w:hAnsi="宋体"/>
          <w:color w:val="000000"/>
          <w:sz w:val="24"/>
          <w:highlight w:val="none"/>
        </w:rPr>
        <w:t>包括</w:t>
      </w:r>
      <w:r>
        <w:rPr>
          <w:rFonts w:hint="eastAsia" w:ascii="宋体" w:hAnsi="宋体"/>
          <w:color w:val="000000"/>
          <w:sz w:val="24"/>
          <w:highlight w:val="none"/>
        </w:rPr>
        <w:t>但不限于</w:t>
      </w:r>
      <w:r>
        <w:rPr>
          <w:rFonts w:ascii="宋体" w:hAnsi="宋体"/>
          <w:color w:val="000000"/>
          <w:sz w:val="24"/>
          <w:highlight w:val="none"/>
        </w:rPr>
        <w:t>运输、计量、服务费等</w:t>
      </w:r>
      <w:r>
        <w:rPr>
          <w:rFonts w:hint="eastAsia" w:ascii="宋体" w:hAnsi="宋体"/>
          <w:color w:val="000000"/>
          <w:sz w:val="24"/>
          <w:highlight w:val="none"/>
        </w:rPr>
        <w:t>。</w:t>
      </w:r>
    </w:p>
    <w:p>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四、包装标准包装物的供应与回收：供方对产品做必要的包装，保证运输时产品的性能不受影响，包装物不回收。</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五、随机的必备品、配件数量及供应办法：凡属设备配套的必备品、配件，均需随货供应。</w:t>
      </w:r>
      <w:r>
        <w:rPr>
          <w:rFonts w:hint="eastAsia" w:ascii="宋体" w:hAnsi="宋体"/>
          <w:color w:val="000000"/>
          <w:sz w:val="24"/>
          <w:highlight w:val="none"/>
        </w:rPr>
        <w:t>在收货时缺少设备配套的必备品、配件的，需方有权拒绝验收并要求供方供应、更换或退货，所需费用由供方承担。</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六、标的物所有权自供方交货、并</w:t>
      </w:r>
      <w:r>
        <w:rPr>
          <w:rFonts w:hint="eastAsia" w:ascii="宋体" w:hAnsi="宋体"/>
          <w:color w:val="000000"/>
          <w:sz w:val="24"/>
          <w:highlight w:val="none"/>
        </w:rPr>
        <w:t>由需方</w:t>
      </w:r>
      <w:r>
        <w:rPr>
          <w:rFonts w:ascii="宋体" w:hAnsi="宋体"/>
          <w:color w:val="000000"/>
          <w:sz w:val="24"/>
          <w:highlight w:val="none"/>
        </w:rPr>
        <w:t>验收合格后转移。</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七、交货时间、地点：</w:t>
      </w:r>
    </w:p>
    <w:p>
      <w:pPr>
        <w:adjustRightInd w:val="0"/>
        <w:snapToGrid w:val="0"/>
        <w:spacing w:line="340" w:lineRule="exact"/>
        <w:ind w:firstLine="480" w:firstLineChars="200"/>
        <w:rPr>
          <w:rFonts w:hint="default" w:ascii="宋体" w:hAnsi="宋体"/>
          <w:color w:val="auto"/>
          <w:sz w:val="24"/>
          <w:szCs w:val="24"/>
          <w:highlight w:val="none"/>
          <w:lang w:eastAsia="zh-CN"/>
        </w:rPr>
      </w:pPr>
      <w:r>
        <w:rPr>
          <w:rFonts w:hint="eastAsia" w:ascii="宋体" w:hAnsi="宋体"/>
          <w:color w:val="000000"/>
          <w:sz w:val="24"/>
          <w:highlight w:val="none"/>
        </w:rPr>
        <w:t>（1）交货期：本项目并非一次性</w:t>
      </w:r>
      <w:r>
        <w:rPr>
          <w:rFonts w:ascii="宋体" w:hAnsi="宋体"/>
          <w:color w:val="000000"/>
          <w:sz w:val="24"/>
          <w:highlight w:val="none"/>
        </w:rPr>
        <w:t>供货。</w:t>
      </w:r>
      <w:r>
        <w:rPr>
          <w:rFonts w:hint="eastAsia" w:ascii="宋体" w:hAnsi="宋体"/>
          <w:color w:val="000000"/>
          <w:sz w:val="24"/>
          <w:highlight w:val="none"/>
        </w:rPr>
        <w:t>当甲方有采购货物需求时，乙方须</w:t>
      </w:r>
      <w:r>
        <w:rPr>
          <w:rFonts w:ascii="宋体" w:hAnsi="宋体"/>
          <w:color w:val="000000"/>
          <w:sz w:val="24"/>
          <w:highlight w:val="none"/>
        </w:rPr>
        <w:t>在接到</w:t>
      </w:r>
      <w:r>
        <w:rPr>
          <w:rFonts w:hint="eastAsia" w:ascii="宋体" w:hAnsi="宋体"/>
          <w:color w:val="000000"/>
          <w:sz w:val="24"/>
          <w:highlight w:val="none"/>
        </w:rPr>
        <w:t>甲方</w:t>
      </w:r>
      <w:r>
        <w:rPr>
          <w:rFonts w:ascii="宋体" w:hAnsi="宋体"/>
          <w:color w:val="000000"/>
          <w:sz w:val="24"/>
          <w:highlight w:val="none"/>
        </w:rPr>
        <w:t>需求</w:t>
      </w:r>
      <w:r>
        <w:rPr>
          <w:rFonts w:hint="eastAsia"/>
          <w:sz w:val="24"/>
          <w:szCs w:val="21"/>
          <w:highlight w:val="none"/>
        </w:rPr>
        <w:t>12小时内响应</w:t>
      </w:r>
      <w:r>
        <w:rPr>
          <w:rFonts w:hint="eastAsia"/>
          <w:sz w:val="24"/>
          <w:szCs w:val="21"/>
          <w:highlight w:val="none"/>
          <w:lang w:eastAsia="zh-CN"/>
        </w:rPr>
        <w:t>，</w:t>
      </w:r>
      <w:r>
        <w:rPr>
          <w:rFonts w:hint="default" w:ascii="宋体" w:hAnsi="宋体"/>
          <w:color w:val="auto"/>
          <w:sz w:val="24"/>
          <w:szCs w:val="24"/>
          <w:highlight w:val="none"/>
          <w:lang w:val="en-US" w:eastAsia="zh-CN"/>
        </w:rPr>
        <w:t>标准气体交货期为一个月内，其余气体</w:t>
      </w:r>
      <w:r>
        <w:rPr>
          <w:rFonts w:hint="default" w:ascii="宋体" w:hAnsi="宋体"/>
          <w:color w:val="auto"/>
          <w:sz w:val="24"/>
          <w:szCs w:val="24"/>
          <w:highlight w:val="none"/>
          <w:lang w:eastAsia="zh-CN"/>
        </w:rPr>
        <w:t>为3个工作日内。</w:t>
      </w:r>
    </w:p>
    <w:p>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）交货地点：甲方指定地点。</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八、运输方式、费用：由供方选择合适的运输方式，一切费用由供方负担。</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九、检验标准、方法：按</w:t>
      </w:r>
      <w:r>
        <w:rPr>
          <w:rFonts w:hint="eastAsia" w:ascii="宋体" w:hAnsi="宋体"/>
          <w:color w:val="000000"/>
          <w:sz w:val="24"/>
          <w:highlight w:val="none"/>
        </w:rPr>
        <w:t>本合同</w:t>
      </w:r>
      <w:r>
        <w:rPr>
          <w:rFonts w:ascii="宋体" w:hAnsi="宋体"/>
          <w:color w:val="000000"/>
          <w:sz w:val="24"/>
          <w:highlight w:val="none"/>
        </w:rPr>
        <w:t>第二条要求验收；如果产品验收不合格或经计量不合格的，需方有权作更换或退货处理，并由供方承担全部费用（包括运输、计量、服务费等）。</w:t>
      </w:r>
    </w:p>
    <w:p>
      <w:pPr>
        <w:adjustRightInd w:val="0"/>
        <w:snapToGrid w:val="0"/>
        <w:spacing w:line="340" w:lineRule="exact"/>
        <w:ind w:left="910" w:leftChars="204" w:hanging="482" w:hangingChars="201"/>
        <w:rPr>
          <w:rFonts w:ascii="宋体" w:hAnsi="宋体"/>
          <w:color w:val="000000"/>
          <w:sz w:val="24"/>
          <w:highlight w:val="none"/>
        </w:rPr>
      </w:pPr>
      <w:r>
        <w:rPr>
          <w:rFonts w:ascii="宋体" w:hAnsi="宋体"/>
          <w:color w:val="000000"/>
          <w:sz w:val="24"/>
          <w:highlight w:val="none"/>
        </w:rPr>
        <w:t>十、结算方式</w:t>
      </w:r>
      <w:r>
        <w:rPr>
          <w:rFonts w:hint="eastAsia" w:ascii="宋体" w:hAnsi="宋体"/>
          <w:color w:val="000000"/>
          <w:sz w:val="24"/>
          <w:highlight w:val="none"/>
        </w:rPr>
        <w:t>与周期</w:t>
      </w:r>
      <w:r>
        <w:rPr>
          <w:rFonts w:ascii="宋体" w:hAnsi="宋体"/>
          <w:color w:val="000000"/>
          <w:sz w:val="24"/>
          <w:highlight w:val="none"/>
        </w:rPr>
        <w:t>：</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）结算周期：每两个月结束后，根据实际采购金额，乙方向甲方提供发票，甲方在收到发票后15个工作日内向乙方付款。结算价格=预算单价×中标人所报折扣率；实际采购金额=结算价格×实际采购量</w:t>
      </w:r>
      <w:r>
        <w:rPr>
          <w:rFonts w:ascii="宋体" w:hAnsi="宋体"/>
          <w:color w:val="000000"/>
          <w:sz w:val="24"/>
          <w:highlight w:val="none"/>
        </w:rPr>
        <w:t>。</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）甲方支付每笔款项时，乙方应向甲方提供相应金额的合格有效的增值税普通或专用发票，出具发票方、收款方均须与乙方名称一致；</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）本项目的付款时间为甲方向财政支付部门提出支付申请的时间（不含财政支付部门的审查时间）。</w:t>
      </w:r>
    </w:p>
    <w:p>
      <w:pPr>
        <w:pStyle w:val="2"/>
        <w:ind w:firstLine="480" w:firstLineChars="200"/>
        <w:rPr>
          <w:rFonts w:ascii="宋体" w:hAnsi="宋体"/>
          <w:color w:val="000000"/>
          <w:highlight w:val="none"/>
        </w:rPr>
      </w:pPr>
      <w:r>
        <w:rPr>
          <w:rFonts w:hint="eastAsia" w:ascii="宋体" w:hAnsi="宋体"/>
          <w:bCs w:val="0"/>
          <w:color w:val="000000"/>
          <w:spacing w:val="0"/>
          <w:kern w:val="2"/>
          <w:szCs w:val="24"/>
          <w:highlight w:val="none"/>
        </w:rPr>
        <w:t>十一、其他要求</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（1）实际采购的实验室用气与标准气体，根据业务需求不一定完全和采购清单相同，若采购人需购买不在采购清单内的实验室用气与标准气体，也按照竞得人的成交价折扣率计算。</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（2）本合同采购总额为15万，采购期限为一年，当达到前方其中一项时，合同自动终止。</w:t>
      </w:r>
    </w:p>
    <w:p>
      <w:pPr>
        <w:pStyle w:val="2"/>
        <w:ind w:left="959" w:leftChars="228" w:hanging="480" w:hangingChars="200"/>
        <w:rPr>
          <w:rFonts w:hint="eastAsia" w:ascii="宋体" w:hAnsi="宋体" w:eastAsia="宋体" w:cs="Times New Roman"/>
          <w:bCs w:val="0"/>
          <w:color w:val="000000"/>
          <w:spacing w:val="0"/>
          <w:kern w:val="2"/>
          <w:sz w:val="24"/>
          <w:szCs w:val="24"/>
          <w:highlight w:val="none"/>
          <w:lang w:val="en-US" w:eastAsia="zh-CN" w:bidi="ar-SA"/>
        </w:rPr>
      </w:pPr>
      <w:r>
        <w:rPr>
          <w:rFonts w:hint="eastAsia" w:ascii="宋体" w:hAnsi="宋体" w:eastAsia="宋体" w:cs="Times New Roman"/>
          <w:bCs w:val="0"/>
          <w:color w:val="000000"/>
          <w:spacing w:val="0"/>
          <w:kern w:val="2"/>
          <w:sz w:val="24"/>
          <w:szCs w:val="24"/>
          <w:highlight w:val="none"/>
          <w:lang w:val="en-US" w:eastAsia="zh-CN" w:bidi="ar-SA"/>
        </w:rPr>
        <w:t>（3）因供方钢瓶自身质量缺陷所导致的安全事故，或因供方产品质量未达标而造成需方的一切损失（包括但不限于仪器设备损坏、检验检测工作超期等）由供方承担责任及相应的赔偿。</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highlight w:val="none"/>
        </w:rPr>
        <w:t>十</w:t>
      </w:r>
      <w:r>
        <w:rPr>
          <w:rFonts w:hint="eastAsia" w:ascii="宋体" w:hAnsi="宋体"/>
          <w:color w:val="000000"/>
          <w:sz w:val="24"/>
          <w:highlight w:val="none"/>
        </w:rPr>
        <w:t>二</w:t>
      </w:r>
      <w:r>
        <w:rPr>
          <w:rFonts w:ascii="宋体" w:hAnsi="宋体"/>
          <w:color w:val="000000"/>
          <w:sz w:val="24"/>
          <w:highlight w:val="none"/>
        </w:rPr>
        <w:t>、</w:t>
      </w:r>
      <w:r>
        <w:rPr>
          <w:rFonts w:hint="eastAsia" w:ascii="宋体" w:hAnsi="宋体"/>
          <w:color w:val="000000"/>
          <w:sz w:val="24"/>
          <w:highlight w:val="none"/>
        </w:rPr>
        <w:t>违约责任：在需方对供方违约违规而采取的任何补救措施不受影响的情况下，需方有权单方面解除合同，需方可向供方发</w:t>
      </w:r>
      <w:r>
        <w:rPr>
          <w:rFonts w:hint="eastAsia" w:ascii="宋体" w:hAnsi="宋体"/>
          <w:color w:val="000000"/>
          <w:sz w:val="24"/>
        </w:rPr>
        <w:t>出书面的违约通知书，提出终止部分或全部合同，如下述两种情况：</w:t>
      </w:r>
    </w:p>
    <w:p>
      <w:pPr>
        <w:adjustRightInd w:val="0"/>
        <w:snapToGrid w:val="0"/>
        <w:spacing w:line="340" w:lineRule="exact"/>
        <w:ind w:left="840" w:leftChars="400" w:firstLine="12" w:firstLineChars="5"/>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pPr>
        <w:adjustRightInd w:val="0"/>
        <w:snapToGrid w:val="0"/>
        <w:spacing w:line="340" w:lineRule="exact"/>
        <w:ind w:left="840" w:leftChars="400" w:firstLine="12" w:firstLineChars="5"/>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.2货物验收合格后，且收到供方出具的全额发票后，需方未按约定支付货款的，每逾期一天应按逾期金额的万分之五向供方支付逾期付款违约金。</w:t>
      </w:r>
    </w:p>
    <w:p>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十三、合同争议解决方式：协商解决，协商不成，提交顺德区人民法院进行诉讼。</w:t>
      </w:r>
    </w:p>
    <w:p>
      <w:pPr>
        <w:adjustRightInd w:val="0"/>
        <w:snapToGrid w:val="0"/>
        <w:spacing w:line="340" w:lineRule="exact"/>
        <w:ind w:left="719" w:leftChars="228" w:hanging="240" w:hangingChars="100"/>
        <w:rPr>
          <w:rFonts w:ascii="宋体" w:hAnsi="宋体"/>
          <w:color w:val="000000"/>
          <w:sz w:val="24"/>
        </w:rPr>
      </w:pPr>
      <w:r>
        <w:rPr>
          <w:rFonts w:hint="eastAsia" w:ascii="宋体" w:hAnsi="宋体"/>
          <w:color w:val="000000"/>
          <w:sz w:val="24"/>
        </w:rPr>
        <w:t>十四、本合同未尽事宜，由供、需方协商签订补充协议进行确定，补充协议与本合同具有同等的法律效力</w:t>
      </w:r>
    </w:p>
    <w:p>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十五、合同经供、需双方签字盖章后生效。</w:t>
      </w:r>
    </w:p>
    <w:tbl>
      <w:tblPr>
        <w:tblStyle w:val="30"/>
        <w:tblpPr w:leftFromText="180" w:rightFromText="180" w:vertAnchor="text" w:horzAnchor="page" w:tblpX="752" w:tblpY="401"/>
        <w:tblOverlap w:val="never"/>
        <w:tblW w:w="10187" w:type="dxa"/>
        <w:tblInd w:w="0" w:type="dxa"/>
        <w:tblLayout w:type="autofit"/>
        <w:tblCellMar>
          <w:top w:w="0" w:type="dxa"/>
          <w:left w:w="108" w:type="dxa"/>
          <w:bottom w:w="0" w:type="dxa"/>
          <w:right w:w="108" w:type="dxa"/>
        </w:tblCellMar>
      </w:tblPr>
      <w:tblGrid>
        <w:gridCol w:w="4911"/>
        <w:gridCol w:w="236"/>
        <w:gridCol w:w="5040"/>
      </w:tblGrid>
      <w:tr>
        <w:tblPrEx>
          <w:tblCellMar>
            <w:top w:w="0" w:type="dxa"/>
            <w:left w:w="108" w:type="dxa"/>
            <w:bottom w:w="0" w:type="dxa"/>
            <w:right w:w="108" w:type="dxa"/>
          </w:tblCellMar>
        </w:tblPrEx>
        <w:tc>
          <w:tcPr>
            <w:tcW w:w="4911" w:type="dxa"/>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 xml:space="preserve">需方： </w:t>
            </w:r>
          </w:p>
        </w:tc>
        <w:tc>
          <w:tcPr>
            <w:tcW w:w="236" w:type="dxa"/>
          </w:tcPr>
          <w:p>
            <w:pPr>
              <w:tabs>
                <w:tab w:val="center" w:pos="5022"/>
              </w:tabs>
              <w:spacing w:line="380" w:lineRule="exact"/>
              <w:jc w:val="left"/>
              <w:rPr>
                <w:rFonts w:ascii="宋体" w:hAnsi="宋体"/>
                <w:color w:val="000000"/>
                <w:sz w:val="24"/>
              </w:rPr>
            </w:pPr>
          </w:p>
        </w:tc>
        <w:tc>
          <w:tcPr>
            <w:tcW w:w="5040" w:type="dxa"/>
          </w:tcPr>
          <w:p>
            <w:pPr>
              <w:tabs>
                <w:tab w:val="center" w:pos="5022"/>
              </w:tabs>
              <w:spacing w:line="380" w:lineRule="exact"/>
              <w:ind w:left="-420" w:leftChars="-200" w:firstLine="468" w:firstLineChars="195"/>
              <w:jc w:val="left"/>
              <w:rPr>
                <w:rFonts w:ascii="宋体" w:hAnsi="宋体"/>
                <w:color w:val="000000"/>
                <w:sz w:val="24"/>
              </w:rPr>
            </w:pPr>
            <w:r>
              <w:rPr>
                <w:rFonts w:ascii="宋体" w:hAnsi="宋体"/>
                <w:color w:val="000000"/>
                <w:sz w:val="24"/>
              </w:rPr>
              <w:t xml:space="preserve">供方： </w:t>
            </w:r>
          </w:p>
        </w:tc>
      </w:tr>
      <w:tr>
        <w:tblPrEx>
          <w:tblCellMar>
            <w:top w:w="0" w:type="dxa"/>
            <w:left w:w="108" w:type="dxa"/>
            <w:bottom w:w="0" w:type="dxa"/>
            <w:right w:w="108" w:type="dxa"/>
          </w:tblCellMar>
        </w:tblPrEx>
        <w:tc>
          <w:tcPr>
            <w:tcW w:w="4911" w:type="dxa"/>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法定代理人：</w:t>
            </w:r>
          </w:p>
          <w:p>
            <w:pPr>
              <w:tabs>
                <w:tab w:val="center" w:pos="5022"/>
              </w:tabs>
              <w:spacing w:line="380" w:lineRule="exact"/>
              <w:ind w:left="-420" w:leftChars="-200" w:firstLine="352" w:firstLineChars="147"/>
              <w:jc w:val="left"/>
              <w:rPr>
                <w:rFonts w:ascii="宋体" w:hAnsi="宋体"/>
                <w:color w:val="000000"/>
                <w:sz w:val="24"/>
              </w:rPr>
            </w:pPr>
          </w:p>
        </w:tc>
        <w:tc>
          <w:tcPr>
            <w:tcW w:w="236" w:type="dxa"/>
          </w:tcPr>
          <w:p>
            <w:pPr>
              <w:tabs>
                <w:tab w:val="center" w:pos="5022"/>
              </w:tabs>
              <w:spacing w:line="380" w:lineRule="exact"/>
              <w:jc w:val="left"/>
              <w:rPr>
                <w:rFonts w:ascii="宋体" w:hAnsi="宋体"/>
                <w:color w:val="000000"/>
                <w:sz w:val="24"/>
              </w:rPr>
            </w:pPr>
          </w:p>
        </w:tc>
        <w:tc>
          <w:tcPr>
            <w:tcW w:w="5040" w:type="dxa"/>
          </w:tcPr>
          <w:p>
            <w:pPr>
              <w:tabs>
                <w:tab w:val="left" w:pos="4742"/>
              </w:tabs>
              <w:jc w:val="left"/>
              <w:rPr>
                <w:rFonts w:ascii="宋体" w:hAnsi="宋体"/>
                <w:color w:val="000000"/>
                <w:sz w:val="24"/>
              </w:rPr>
            </w:pPr>
            <w:r>
              <w:rPr>
                <w:rFonts w:ascii="宋体" w:hAnsi="宋体"/>
                <w:color w:val="000000"/>
                <w:sz w:val="24"/>
              </w:rPr>
              <w:t>法定代理人：</w:t>
            </w:r>
          </w:p>
        </w:tc>
      </w:tr>
      <w:tr>
        <w:tblPrEx>
          <w:tblCellMar>
            <w:top w:w="0" w:type="dxa"/>
            <w:left w:w="108" w:type="dxa"/>
            <w:bottom w:w="0" w:type="dxa"/>
            <w:right w:w="108" w:type="dxa"/>
          </w:tblCellMar>
        </w:tblPrEx>
        <w:tc>
          <w:tcPr>
            <w:tcW w:w="4911" w:type="dxa"/>
          </w:tcPr>
          <w:p>
            <w:pPr>
              <w:tabs>
                <w:tab w:val="center" w:pos="5022"/>
              </w:tabs>
              <w:spacing w:line="380" w:lineRule="exact"/>
              <w:ind w:left="-630" w:leftChars="-300" w:firstLine="588" w:firstLineChars="245"/>
              <w:jc w:val="left"/>
              <w:rPr>
                <w:rFonts w:ascii="宋体" w:hAnsi="宋体"/>
                <w:color w:val="000000"/>
                <w:sz w:val="24"/>
              </w:rPr>
            </w:pPr>
            <w:r>
              <w:rPr>
                <w:rFonts w:ascii="宋体" w:hAnsi="宋体"/>
                <w:color w:val="000000"/>
                <w:sz w:val="24"/>
              </w:rPr>
              <w:t>委托代理人：</w:t>
            </w:r>
          </w:p>
          <w:p>
            <w:pPr>
              <w:tabs>
                <w:tab w:val="center" w:pos="5022"/>
              </w:tabs>
              <w:spacing w:line="380" w:lineRule="exact"/>
              <w:ind w:left="-630" w:leftChars="-300" w:firstLine="588" w:firstLineChars="245"/>
              <w:jc w:val="left"/>
              <w:rPr>
                <w:rFonts w:ascii="宋体" w:hAnsi="宋体"/>
                <w:color w:val="000000"/>
                <w:sz w:val="24"/>
              </w:rPr>
            </w:pPr>
          </w:p>
        </w:tc>
        <w:tc>
          <w:tcPr>
            <w:tcW w:w="236" w:type="dxa"/>
          </w:tcPr>
          <w:p>
            <w:pPr>
              <w:tabs>
                <w:tab w:val="center" w:pos="5022"/>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委托代理人：</w:t>
            </w:r>
          </w:p>
        </w:tc>
      </w:tr>
      <w:tr>
        <w:tblPrEx>
          <w:tblCellMar>
            <w:top w:w="0" w:type="dxa"/>
            <w:left w:w="108" w:type="dxa"/>
            <w:bottom w:w="0" w:type="dxa"/>
            <w:right w:w="108" w:type="dxa"/>
          </w:tblCellMar>
        </w:tblPrEx>
        <w:tc>
          <w:tcPr>
            <w:tcW w:w="4911" w:type="dxa"/>
          </w:tcPr>
          <w:p>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tcPr>
          <w:p>
            <w:pPr>
              <w:widowControl/>
              <w:jc w:val="left"/>
              <w:rPr>
                <w:rFonts w:ascii="宋体" w:hAnsi="宋体"/>
                <w:color w:val="000000"/>
                <w:sz w:val="24"/>
              </w:rPr>
            </w:pPr>
          </w:p>
          <w:p>
            <w:pPr>
              <w:tabs>
                <w:tab w:val="center" w:pos="5022"/>
              </w:tabs>
              <w:spacing w:line="380" w:lineRule="exact"/>
              <w:jc w:val="left"/>
              <w:rPr>
                <w:rFonts w:ascii="宋体" w:hAnsi="宋体"/>
                <w:color w:val="000000"/>
                <w:sz w:val="24"/>
              </w:rPr>
            </w:pPr>
          </w:p>
        </w:tc>
        <w:tc>
          <w:tcPr>
            <w:tcW w:w="5040" w:type="dxa"/>
          </w:tcPr>
          <w:p>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联系电话：</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传    真：</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42"/>
              </w:tabs>
              <w:jc w:val="left"/>
              <w:rPr>
                <w:rFonts w:ascii="宋体" w:hAnsi="宋体"/>
                <w:color w:val="000000"/>
                <w:sz w:val="24"/>
              </w:rPr>
            </w:pPr>
            <w:r>
              <w:rPr>
                <w:rFonts w:ascii="宋体" w:hAnsi="宋体"/>
                <w:color w:val="000000"/>
                <w:sz w:val="24"/>
              </w:rPr>
              <w:t xml:space="preserve">税    号：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日    期：</w:t>
            </w:r>
          </w:p>
        </w:tc>
      </w:tr>
    </w:tbl>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六</w:t>
      </w:r>
      <w:r>
        <w:rPr>
          <w:rFonts w:ascii="宋体" w:hAnsi="宋体"/>
          <w:color w:val="000000"/>
          <w:sz w:val="24"/>
        </w:rPr>
        <w:t>、本合同一式4份，供方1份，需方3份。</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七、</w:t>
      </w:r>
      <w:r>
        <w:rPr>
          <w:rFonts w:ascii="宋体" w:hAnsi="宋体"/>
          <w:color w:val="000000"/>
          <w:sz w:val="24"/>
        </w:rPr>
        <w:t>其它约定事项：无。</w:t>
      </w:r>
    </w:p>
    <w:p>
      <w:pPr>
        <w:adjustRightInd w:val="0"/>
        <w:spacing w:line="360" w:lineRule="auto"/>
        <w:ind w:firstLine="480" w:firstLineChars="200"/>
        <w:rPr>
          <w:rFonts w:ascii="宋体" w:hAnsi="宋体"/>
          <w:color w:val="000000"/>
          <w:sz w:val="24"/>
        </w:rPr>
      </w:pPr>
    </w:p>
    <w:p>
      <w:pPr>
        <w:adjustRightInd w:val="0"/>
        <w:spacing w:line="360" w:lineRule="auto"/>
        <w:ind w:firstLine="480" w:firstLineChars="200"/>
        <w:rPr>
          <w:rFonts w:ascii="宋体" w:hAnsi="宋体"/>
          <w:color w:val="000000"/>
          <w:sz w:val="24"/>
        </w:rPr>
      </w:pPr>
    </w:p>
    <w:p>
      <w:pPr>
        <w:pStyle w:val="4"/>
        <w:spacing w:line="360" w:lineRule="auto"/>
        <w:jc w:val="center"/>
        <w:rPr>
          <w:rFonts w:hint="eastAsia" w:ascii="宋体" w:hAnsi="宋体"/>
          <w:color w:val="000000"/>
          <w:sz w:val="72"/>
          <w:szCs w:val="72"/>
        </w:rPr>
      </w:pPr>
      <w:bookmarkStart w:id="166" w:name="_Toc28788"/>
      <w:bookmarkStart w:id="167" w:name="_Toc29055"/>
      <w:bookmarkStart w:id="168" w:name="_Toc3487"/>
      <w:bookmarkStart w:id="169" w:name="_Toc7922"/>
      <w:r>
        <w:rPr>
          <w:rFonts w:hint="eastAsia" w:ascii="宋体" w:hAnsi="宋体"/>
          <w:color w:val="000000"/>
          <w:sz w:val="72"/>
          <w:szCs w:val="72"/>
        </w:rPr>
        <w:t>第四章 证明文件格式</w:t>
      </w:r>
      <w:bookmarkEnd w:id="166"/>
      <w:bookmarkEnd w:id="167"/>
      <w:bookmarkEnd w:id="168"/>
      <w:bookmarkEnd w:id="169"/>
    </w:p>
    <w:p>
      <w:pPr>
        <w:spacing w:line="360" w:lineRule="auto"/>
        <w:jc w:val="center"/>
        <w:rPr>
          <w:rFonts w:ascii="宋体" w:hAnsi="宋体"/>
          <w:color w:val="000000"/>
          <w:sz w:val="28"/>
        </w:rPr>
      </w:pPr>
    </w:p>
    <w:p>
      <w:pPr>
        <w:spacing w:line="360" w:lineRule="auto"/>
        <w:jc w:val="center"/>
        <w:rPr>
          <w:rFonts w:ascii="宋体" w:hAnsi="宋体"/>
          <w:color w:val="000000"/>
          <w:sz w:val="28"/>
        </w:rPr>
      </w:pPr>
    </w:p>
    <w:p>
      <w:pPr>
        <w:rPr>
          <w:rFonts w:hint="eastAsia"/>
          <w:color w:val="000000"/>
          <w:szCs w:val="32"/>
        </w:rPr>
      </w:pPr>
      <w:bookmarkStart w:id="170" w:name="_Toc21907"/>
      <w:bookmarkStart w:id="171" w:name="_Toc16506"/>
      <w:bookmarkStart w:id="172" w:name="_Toc24128"/>
      <w:bookmarkStart w:id="173" w:name="_Toc23815"/>
      <w:r>
        <w:rPr>
          <w:rFonts w:hint="eastAsia"/>
          <w:color w:val="000000"/>
          <w:szCs w:val="32"/>
        </w:rPr>
        <w:br w:type="page"/>
      </w:r>
    </w:p>
    <w:p>
      <w:pPr>
        <w:pStyle w:val="105"/>
        <w:numPr>
          <w:ilvl w:val="2"/>
          <w:numId w:val="0"/>
        </w:numPr>
        <w:jc w:val="center"/>
        <w:rPr>
          <w:color w:val="000000"/>
          <w:szCs w:val="32"/>
        </w:rPr>
      </w:pPr>
      <w:bookmarkStart w:id="174" w:name="_Toc2915"/>
      <w:bookmarkStart w:id="175" w:name="_Toc21892"/>
      <w:bookmarkStart w:id="176" w:name="_Toc1049"/>
      <w:r>
        <w:rPr>
          <w:rFonts w:hint="eastAsia"/>
          <w:color w:val="000000"/>
          <w:szCs w:val="32"/>
        </w:rPr>
        <w:t>封面</w:t>
      </w:r>
      <w:bookmarkEnd w:id="170"/>
      <w:bookmarkEnd w:id="171"/>
      <w:bookmarkEnd w:id="172"/>
      <w:bookmarkEnd w:id="173"/>
      <w:bookmarkEnd w:id="174"/>
      <w:bookmarkEnd w:id="175"/>
      <w:bookmarkEnd w:id="176"/>
    </w:p>
    <w:p>
      <w:pPr>
        <w:spacing w:line="360" w:lineRule="auto"/>
        <w:jc w:val="center"/>
        <w:rPr>
          <w:rFonts w:ascii="宋体" w:hAnsi="宋体"/>
          <w:color w:val="000000"/>
          <w:sz w:val="52"/>
          <w:szCs w:val="52"/>
        </w:rPr>
      </w:pPr>
      <w:r>
        <w:rPr>
          <w:rFonts w:hint="eastAsia" w:ascii="宋体" w:hAnsi="宋体"/>
          <w:color w:val="000000"/>
          <w:sz w:val="52"/>
          <w:szCs w:val="52"/>
        </w:rPr>
        <w:t>顺德检测院实验室用气与标准气体采购</w:t>
      </w:r>
      <w:r>
        <w:rPr>
          <w:rFonts w:hint="eastAsia" w:ascii="宋体" w:hAnsi="宋体"/>
          <w:color w:val="000000"/>
          <w:sz w:val="52"/>
          <w:szCs w:val="52"/>
          <w:lang w:eastAsia="zh-CN"/>
        </w:rPr>
        <w:t>（</w:t>
      </w:r>
      <w:r>
        <w:rPr>
          <w:rFonts w:hint="eastAsia" w:ascii="宋体" w:hAnsi="宋体"/>
          <w:color w:val="000000"/>
          <w:sz w:val="52"/>
          <w:szCs w:val="52"/>
          <w:lang w:val="en-US" w:eastAsia="zh-CN"/>
        </w:rPr>
        <w:t>二次</w:t>
      </w:r>
      <w:r>
        <w:rPr>
          <w:rFonts w:hint="eastAsia" w:ascii="宋体" w:hAnsi="宋体"/>
          <w:color w:val="000000"/>
          <w:sz w:val="52"/>
          <w:szCs w:val="52"/>
          <w:lang w:eastAsia="zh-CN"/>
        </w:rPr>
        <w:t>）</w:t>
      </w:r>
      <w:r>
        <w:rPr>
          <w:rFonts w:hint="eastAsia" w:ascii="宋体" w:hAnsi="宋体"/>
          <w:color w:val="000000"/>
          <w:sz w:val="52"/>
          <w:szCs w:val="52"/>
        </w:rPr>
        <w:t>项目证明文件</w:t>
      </w:r>
    </w:p>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left"/>
        <w:rPr>
          <w:rFonts w:ascii="宋体" w:hAnsi="宋体"/>
          <w:color w:val="000000"/>
          <w:sz w:val="32"/>
          <w:szCs w:val="32"/>
          <w:u w:val="single"/>
        </w:rPr>
      </w:pPr>
      <w:r>
        <w:rPr>
          <w:rFonts w:hint="eastAsia" w:ascii="宋体" w:hAnsi="宋体"/>
          <w:color w:val="000000"/>
          <w:sz w:val="32"/>
          <w:szCs w:val="32"/>
        </w:rPr>
        <w:t>项目编号：</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竞投人名称：</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竞投人地址：</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竞投人联系电话：</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竞投人传真：</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竞投人联系人：</w:t>
      </w:r>
    </w:p>
    <w:p>
      <w:pPr>
        <w:spacing w:line="360" w:lineRule="auto"/>
        <w:jc w:val="left"/>
        <w:rPr>
          <w:rFonts w:ascii="宋体" w:hAnsi="宋体"/>
          <w:color w:val="000000"/>
        </w:rPr>
      </w:pPr>
    </w:p>
    <w:p>
      <w:pPr>
        <w:spacing w:line="360" w:lineRule="auto"/>
        <w:jc w:val="left"/>
        <w:rPr>
          <w:rFonts w:ascii="宋体" w:hAnsi="宋体"/>
          <w:color w:val="000000"/>
        </w:rPr>
      </w:pPr>
    </w:p>
    <w:p>
      <w:pPr>
        <w:spacing w:line="360" w:lineRule="auto"/>
        <w:ind w:firstLine="2400" w:firstLineChars="1000"/>
        <w:jc w:val="left"/>
        <w:rPr>
          <w:rFonts w:ascii="宋体" w:hAnsi="宋体"/>
          <w:color w:val="000000"/>
          <w:sz w:val="24"/>
        </w:rPr>
      </w:pPr>
      <w:r>
        <w:rPr>
          <w:rFonts w:hint="eastAsia"/>
          <w:color w:val="000000"/>
          <w:sz w:val="24"/>
        </w:rPr>
        <w:t>二0二三 年 月 日</w:t>
      </w:r>
    </w:p>
    <w:p>
      <w:pPr>
        <w:pStyle w:val="105"/>
        <w:jc w:val="center"/>
        <w:rPr>
          <w:rFonts w:ascii="宋体" w:hAnsi="宋体"/>
          <w:color w:val="000000"/>
        </w:rPr>
      </w:pPr>
      <w:bookmarkStart w:id="177" w:name="_Toc1920"/>
      <w:r>
        <w:rPr>
          <w:rFonts w:hint="eastAsia" w:ascii="宋体" w:hAnsi="宋体"/>
          <w:color w:val="000000"/>
        </w:rPr>
        <w:br w:type="page"/>
      </w:r>
      <w:bookmarkEnd w:id="177"/>
      <w:bookmarkStart w:id="178" w:name="_Toc26186"/>
      <w:bookmarkStart w:id="179" w:name="_Toc3342"/>
      <w:bookmarkStart w:id="180" w:name="_Toc945"/>
      <w:bookmarkStart w:id="181" w:name="_Toc14180"/>
      <w:bookmarkStart w:id="182" w:name="_Toc12131"/>
      <w:bookmarkStart w:id="183" w:name="_Toc15730"/>
      <w:bookmarkStart w:id="184" w:name="_Toc28656"/>
      <w:r>
        <w:rPr>
          <w:rFonts w:hint="eastAsia" w:ascii="宋体" w:hAnsi="宋体"/>
          <w:color w:val="000000"/>
        </w:rPr>
        <w:t>竞投人证明书</w:t>
      </w:r>
      <w:bookmarkEnd w:id="178"/>
      <w:bookmarkEnd w:id="179"/>
      <w:bookmarkEnd w:id="180"/>
      <w:bookmarkEnd w:id="181"/>
      <w:bookmarkEnd w:id="182"/>
      <w:bookmarkEnd w:id="183"/>
      <w:bookmarkEnd w:id="184"/>
    </w:p>
    <w:p>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pPr>
        <w:pStyle w:val="8"/>
        <w:ind w:firstLine="0"/>
        <w:jc w:val="center"/>
        <w:rPr>
          <w:rFonts w:ascii="宋体" w:hAnsi="宋体"/>
          <w:b/>
          <w:bCs/>
          <w:color w:val="000000"/>
          <w:sz w:val="24"/>
          <w:szCs w:val="24"/>
        </w:rPr>
      </w:pPr>
    </w:p>
    <w:p>
      <w:pPr>
        <w:pStyle w:val="8"/>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ind w:firstLine="600" w:firstLineChars="250"/>
        <w:rPr>
          <w:rFonts w:ascii="宋体" w:hAnsi="宋体"/>
          <w:color w:val="000000"/>
          <w:sz w:val="24"/>
        </w:rPr>
      </w:pPr>
    </w:p>
    <w:p>
      <w:pPr>
        <w:snapToGrid w:val="0"/>
        <w:spacing w:line="360" w:lineRule="auto"/>
        <w:rPr>
          <w:rFonts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为顺德检测院实验室用气与标准气体采购</w:t>
      </w:r>
      <w:r>
        <w:rPr>
          <w:rFonts w:hint="eastAsia" w:ascii="宋体" w:hAnsi="宋体"/>
          <w:color w:val="000000"/>
          <w:sz w:val="24"/>
          <w:lang w:eastAsia="zh-CN"/>
        </w:rPr>
        <w:t>（</w:t>
      </w:r>
      <w:r>
        <w:rPr>
          <w:rFonts w:hint="eastAsia" w:ascii="宋体" w:hAnsi="宋体"/>
          <w:color w:val="000000"/>
          <w:sz w:val="24"/>
          <w:lang w:val="en-US" w:eastAsia="zh-CN"/>
        </w:rPr>
        <w:t>二次</w:t>
      </w:r>
      <w:r>
        <w:rPr>
          <w:rFonts w:hint="eastAsia" w:ascii="宋体" w:hAnsi="宋体"/>
          <w:color w:val="000000"/>
          <w:sz w:val="24"/>
          <w:lang w:eastAsia="zh-CN"/>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359" w:firstLine="357"/>
        <w:rPr>
          <w:rFonts w:ascii="宋体" w:hAnsi="宋体"/>
          <w:color w:val="000000"/>
          <w:sz w:val="24"/>
        </w:rPr>
      </w:pP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pPr>
        <w:rPr>
          <w:rFonts w:ascii="宋体" w:hAnsi="宋体"/>
          <w:b/>
          <w:color w:val="000000"/>
        </w:rPr>
      </w:pPr>
    </w:p>
    <w:p>
      <w:pPr>
        <w:rPr>
          <w:rFonts w:ascii="宋体" w:hAnsi="宋体"/>
          <w:color w:val="000000"/>
        </w:rPr>
      </w:pPr>
    </w:p>
    <w:p>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rPr>
          <w:rFonts w:ascii="宋体" w:hAnsi="宋体"/>
          <w:color w:val="000000"/>
        </w:rPr>
      </w:pPr>
    </w:p>
    <w:p>
      <w:pPr>
        <w:pStyle w:val="105"/>
        <w:jc w:val="center"/>
        <w:rPr>
          <w:rFonts w:ascii="宋体" w:hAnsi="宋体"/>
          <w:color w:val="000000"/>
        </w:rPr>
      </w:pPr>
      <w:r>
        <w:rPr>
          <w:rFonts w:ascii="宋体" w:hAnsi="宋体"/>
          <w:color w:val="000000"/>
        </w:rPr>
        <w:br w:type="page"/>
      </w:r>
      <w:bookmarkStart w:id="185" w:name="_Toc21329"/>
      <w:bookmarkStart w:id="186" w:name="_Toc21960"/>
      <w:bookmarkStart w:id="187" w:name="_Toc18208"/>
      <w:bookmarkStart w:id="188" w:name="_Toc7161"/>
      <w:bookmarkStart w:id="189" w:name="_Toc5661"/>
      <w:bookmarkStart w:id="190" w:name="_Toc18869"/>
      <w:bookmarkStart w:id="191" w:name="_Toc20866"/>
      <w:r>
        <w:rPr>
          <w:rFonts w:hint="eastAsia" w:ascii="宋体" w:hAnsi="宋体"/>
          <w:color w:val="000000"/>
        </w:rPr>
        <w:t>法定代表人（其他组织经营者）证明书</w:t>
      </w:r>
      <w:bookmarkEnd w:id="185"/>
      <w:bookmarkEnd w:id="186"/>
      <w:bookmarkEnd w:id="187"/>
      <w:bookmarkEnd w:id="188"/>
      <w:bookmarkEnd w:id="189"/>
      <w:bookmarkEnd w:id="190"/>
      <w:bookmarkEnd w:id="191"/>
    </w:p>
    <w:p>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pPr>
        <w:pStyle w:val="8"/>
        <w:ind w:firstLine="0"/>
        <w:jc w:val="center"/>
        <w:rPr>
          <w:rFonts w:ascii="宋体" w:hAnsi="宋体"/>
          <w:b/>
          <w:bCs/>
          <w:color w:val="000000"/>
          <w:sz w:val="24"/>
          <w:szCs w:val="24"/>
        </w:rPr>
      </w:pPr>
    </w:p>
    <w:p>
      <w:pPr>
        <w:pStyle w:val="8"/>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rPr>
          <w:rFonts w:ascii="宋体" w:hAnsi="宋体"/>
          <w:color w:val="000000"/>
          <w:sz w:val="24"/>
        </w:rPr>
      </w:pPr>
    </w:p>
    <w:p>
      <w:pPr>
        <w:spacing w:line="360" w:lineRule="auto"/>
        <w:ind w:firstLine="600" w:firstLineChars="25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的法定代表人/负责人。为顺德检测院实验室用气与标准气体采购</w:t>
      </w:r>
      <w:r>
        <w:rPr>
          <w:rFonts w:hint="eastAsia" w:ascii="宋体" w:hAnsi="宋体"/>
          <w:color w:val="000000"/>
          <w:sz w:val="24"/>
          <w:lang w:eastAsia="zh-CN"/>
        </w:rPr>
        <w:t>（</w:t>
      </w:r>
      <w:r>
        <w:rPr>
          <w:rFonts w:hint="eastAsia" w:ascii="宋体" w:hAnsi="宋体"/>
          <w:color w:val="000000"/>
          <w:sz w:val="24"/>
          <w:lang w:val="en-US" w:eastAsia="zh-CN"/>
        </w:rPr>
        <w:t>二次</w:t>
      </w:r>
      <w:r>
        <w:rPr>
          <w:rFonts w:hint="eastAsia" w:ascii="宋体" w:hAnsi="宋体"/>
          <w:color w:val="000000"/>
          <w:sz w:val="24"/>
          <w:lang w:eastAsia="zh-CN"/>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ind w:firstLine="540"/>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pPr>
        <w:rPr>
          <w:rFonts w:ascii="宋体" w:hAnsi="宋体"/>
          <w:color w:val="000000"/>
          <w:sz w:val="24"/>
        </w:rPr>
      </w:pPr>
      <w:r>
        <w:rPr>
          <w:rFonts w:hint="eastAsia" w:ascii="宋体" w:hAnsi="宋体"/>
          <w:color w:val="000000"/>
          <w:sz w:val="24"/>
        </w:rPr>
        <w:t xml:space="preserve">  </w:t>
      </w:r>
    </w:p>
    <w:p>
      <w:pPr>
        <w:rPr>
          <w:rFonts w:ascii="宋体" w:hAnsi="宋体"/>
          <w:b/>
          <w:color w:val="000000"/>
          <w:sz w:val="24"/>
        </w:rPr>
      </w:pPr>
      <w:r>
        <w:rPr>
          <w:rFonts w:hint="eastAsia" w:ascii="宋体" w:hAnsi="宋体"/>
          <w:b/>
          <w:color w:val="000000"/>
          <w:sz w:val="24"/>
        </w:rPr>
        <w:t xml:space="preserve">    </w:t>
      </w:r>
    </w:p>
    <w:p>
      <w:pPr>
        <w:rPr>
          <w:rFonts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pStyle w:val="105"/>
        <w:jc w:val="center"/>
        <w:rPr>
          <w:rFonts w:ascii="宋体" w:hAnsi="宋体"/>
          <w:color w:val="000000"/>
        </w:rPr>
      </w:pPr>
      <w:r>
        <w:rPr>
          <w:rFonts w:ascii="宋体" w:hAnsi="宋体"/>
          <w:color w:val="000000"/>
        </w:rPr>
        <w:br w:type="page"/>
      </w:r>
      <w:bookmarkStart w:id="192" w:name="_Toc101"/>
      <w:bookmarkStart w:id="193" w:name="_Toc3865"/>
      <w:bookmarkStart w:id="194" w:name="_Toc12800"/>
      <w:bookmarkStart w:id="195" w:name="_Toc3248"/>
      <w:bookmarkStart w:id="196" w:name="_Toc23115"/>
      <w:bookmarkStart w:id="197" w:name="_Toc12332"/>
      <w:bookmarkStart w:id="198" w:name="_Toc24801"/>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192"/>
      <w:bookmarkEnd w:id="193"/>
      <w:bookmarkEnd w:id="194"/>
      <w:bookmarkEnd w:id="195"/>
      <w:bookmarkEnd w:id="196"/>
      <w:bookmarkEnd w:id="197"/>
      <w:bookmarkEnd w:id="198"/>
    </w:p>
    <w:p>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rPr>
          <w:rFonts w:ascii="宋体" w:hAnsi="宋体"/>
          <w:color w:val="000000"/>
          <w:sz w:val="24"/>
        </w:rPr>
      </w:pPr>
    </w:p>
    <w:p>
      <w:pPr>
        <w:spacing w:line="420" w:lineRule="exact"/>
        <w:rPr>
          <w:rFonts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(姓名)为我单位代理人，以本单位的名义参加顺德检测院实验室用气与标准气体采购</w:t>
      </w:r>
      <w:r>
        <w:rPr>
          <w:rFonts w:hint="eastAsia" w:ascii="宋体" w:hAnsi="宋体"/>
          <w:color w:val="000000"/>
          <w:sz w:val="24"/>
          <w:lang w:eastAsia="zh-CN"/>
        </w:rPr>
        <w:t>（</w:t>
      </w:r>
      <w:r>
        <w:rPr>
          <w:rFonts w:hint="eastAsia" w:ascii="宋体" w:hAnsi="宋体"/>
          <w:color w:val="000000"/>
          <w:sz w:val="24"/>
          <w:lang w:val="en-US" w:eastAsia="zh-CN"/>
        </w:rPr>
        <w:t>二次</w:t>
      </w:r>
      <w:r>
        <w:rPr>
          <w:rFonts w:hint="eastAsia" w:ascii="宋体" w:hAnsi="宋体"/>
          <w:color w:val="000000"/>
          <w:sz w:val="24"/>
          <w:lang w:eastAsia="zh-CN"/>
        </w:rPr>
        <w:t>）</w:t>
      </w:r>
      <w:r>
        <w:rPr>
          <w:rFonts w:hint="eastAsia" w:ascii="宋体" w:hAnsi="宋体"/>
          <w:color w:val="000000"/>
          <w:sz w:val="24"/>
        </w:rPr>
        <w:t>项目（项目编号：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pPr>
        <w:spacing w:line="420" w:lineRule="exact"/>
        <w:ind w:firstLine="420"/>
        <w:rPr>
          <w:rFonts w:ascii="宋体" w:hAnsi="宋体"/>
          <w:color w:val="000000"/>
          <w:sz w:val="24"/>
        </w:rPr>
      </w:pPr>
      <w:r>
        <w:rPr>
          <w:rFonts w:hint="eastAsia" w:ascii="宋体" w:hAnsi="宋体"/>
          <w:color w:val="000000"/>
          <w:sz w:val="24"/>
        </w:rPr>
        <w:t>代理人无转委托权。</w:t>
      </w:r>
    </w:p>
    <w:p>
      <w:pPr>
        <w:spacing w:line="420" w:lineRule="exact"/>
        <w:ind w:firstLine="420"/>
        <w:rPr>
          <w:rFonts w:ascii="宋体" w:hAnsi="宋体"/>
          <w:color w:val="000000"/>
          <w:sz w:val="24"/>
        </w:rPr>
      </w:pPr>
      <w:r>
        <w:rPr>
          <w:rFonts w:hint="eastAsia" w:ascii="宋体" w:hAnsi="宋体"/>
          <w:color w:val="000000"/>
          <w:sz w:val="24"/>
        </w:rPr>
        <w:t>特此委托。</w:t>
      </w:r>
    </w:p>
    <w:p>
      <w:pPr>
        <w:spacing w:line="420" w:lineRule="exact"/>
        <w:ind w:firstLine="42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spacing w:line="420" w:lineRule="exact"/>
        <w:ind w:firstLine="540"/>
        <w:rPr>
          <w:rFonts w:ascii="宋体" w:hAnsi="宋体"/>
          <w:color w:val="000000"/>
          <w:sz w:val="24"/>
        </w:rPr>
      </w:pPr>
    </w:p>
    <w:p>
      <w:pPr>
        <w:spacing w:line="420" w:lineRule="exact"/>
        <w:rPr>
          <w:rFonts w:ascii="宋体" w:hAnsi="宋体"/>
          <w:color w:val="000000"/>
          <w:sz w:val="24"/>
        </w:rPr>
      </w:pPr>
      <w:r>
        <w:rPr>
          <w:rFonts w:hint="eastAsia" w:ascii="宋体" w:hAnsi="宋体"/>
          <w:color w:val="000000"/>
          <w:sz w:val="24"/>
        </w:rPr>
        <w:t>注：</w:t>
      </w:r>
    </w:p>
    <w:p>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w:t>
      </w:r>
      <w:r>
        <w:rPr>
          <w:rFonts w:hint="eastAsia" w:ascii="宋体" w:hAnsi="宋体"/>
          <w:color w:val="000000"/>
          <w:sz w:val="24"/>
          <w:lang w:val="en-US" w:eastAsia="zh-CN"/>
        </w:rPr>
        <w:t>要</w:t>
      </w:r>
      <w:r>
        <w:rPr>
          <w:rFonts w:hint="eastAsia" w:ascii="宋体" w:hAnsi="宋体"/>
          <w:color w:val="000000"/>
          <w:sz w:val="24"/>
        </w:rPr>
        <w:t>提供该委托书。</w:t>
      </w:r>
    </w:p>
    <w:p>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pPr>
        <w:spacing w:line="420" w:lineRule="exact"/>
        <w:rPr>
          <w:rFonts w:ascii="宋体" w:hAnsi="宋体"/>
          <w:bCs/>
          <w:color w:val="000000"/>
          <w:sz w:val="24"/>
        </w:rPr>
      </w:pPr>
      <w:r>
        <w:rPr>
          <w:rFonts w:hint="eastAsia" w:ascii="宋体" w:hAnsi="宋体"/>
          <w:bCs/>
          <w:color w:val="000000"/>
          <w:sz w:val="24"/>
        </w:rPr>
        <w:t>3、所指代理人即为竞投人代表人。</w:t>
      </w:r>
    </w:p>
    <w:p>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pPr>
        <w:rPr>
          <w:rFonts w:ascii="宋体" w:hAnsi="宋体"/>
          <w:color w:val="000000"/>
        </w:rPr>
      </w:pPr>
    </w:p>
    <w:p>
      <w:pPr>
        <w:rPr>
          <w:rFonts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代理人身份证复印件正面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rPr>
          <w:rFonts w:ascii="宋体" w:hAnsi="宋体"/>
          <w:color w:val="000000"/>
        </w:rPr>
      </w:pPr>
      <w:r>
        <w:rPr>
          <w:rFonts w:hint="eastAsia" w:ascii="宋体" w:hAnsi="宋体"/>
          <w:color w:val="000000"/>
        </w:rPr>
        <w:br w:type="page"/>
      </w:r>
    </w:p>
    <w:p>
      <w:pPr>
        <w:pStyle w:val="105"/>
        <w:jc w:val="center"/>
        <w:rPr>
          <w:rFonts w:ascii="宋体" w:hAnsi="宋体"/>
          <w:color w:val="000000"/>
        </w:rPr>
      </w:pPr>
      <w:bookmarkStart w:id="199" w:name="_Toc17418"/>
      <w:bookmarkStart w:id="200" w:name="_Toc21411"/>
      <w:bookmarkStart w:id="201" w:name="_Toc26100"/>
      <w:bookmarkStart w:id="202" w:name="_Toc28369"/>
      <w:bookmarkStart w:id="203" w:name="_Toc30947"/>
      <w:bookmarkStart w:id="204" w:name="_Toc19394"/>
      <w:bookmarkStart w:id="205" w:name="_Toc10740"/>
      <w:r>
        <w:rPr>
          <w:rFonts w:hint="eastAsia" w:ascii="宋体" w:hAnsi="宋体"/>
          <w:color w:val="000000"/>
        </w:rPr>
        <w:t>陪同人员证明</w:t>
      </w:r>
      <w:r>
        <w:rPr>
          <w:rFonts w:ascii="宋体" w:hAnsi="宋体"/>
          <w:color w:val="000000"/>
        </w:rPr>
        <w:t>书</w:t>
      </w:r>
      <w:bookmarkEnd w:id="199"/>
      <w:bookmarkEnd w:id="200"/>
      <w:bookmarkEnd w:id="201"/>
      <w:bookmarkEnd w:id="202"/>
      <w:bookmarkEnd w:id="203"/>
      <w:bookmarkEnd w:id="204"/>
      <w:bookmarkEnd w:id="205"/>
    </w:p>
    <w:p>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color w:val="000000"/>
          <w:sz w:val="24"/>
        </w:rPr>
        <w:t>致：广东省特种设备检测研究院顺德检测院</w:t>
      </w:r>
    </w:p>
    <w:p>
      <w:pPr>
        <w:rPr>
          <w:rFonts w:ascii="宋体" w:hAnsi="宋体"/>
          <w:color w:val="000000"/>
          <w:sz w:val="24"/>
        </w:rPr>
      </w:pPr>
    </w:p>
    <w:p>
      <w:pPr>
        <w:spacing w:line="360" w:lineRule="auto"/>
        <w:rPr>
          <w:rFonts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(姓名)为我公司工作人员，陪同法定代表人或竞投人代表人参加顺德检测院实验室用气与标准气体采购</w:t>
      </w:r>
      <w:r>
        <w:rPr>
          <w:rFonts w:hint="eastAsia" w:ascii="宋体" w:hAnsi="宋体"/>
          <w:color w:val="000000"/>
          <w:sz w:val="24"/>
          <w:lang w:eastAsia="zh-CN"/>
        </w:rPr>
        <w:t>（</w:t>
      </w:r>
      <w:r>
        <w:rPr>
          <w:rFonts w:hint="eastAsia" w:ascii="宋体" w:hAnsi="宋体"/>
          <w:color w:val="000000"/>
          <w:sz w:val="24"/>
          <w:lang w:val="en-US" w:eastAsia="zh-CN"/>
        </w:rPr>
        <w:t>二次</w:t>
      </w:r>
      <w:r>
        <w:rPr>
          <w:rFonts w:hint="eastAsia" w:ascii="宋体" w:hAnsi="宋体"/>
          <w:color w:val="000000"/>
          <w:sz w:val="24"/>
          <w:lang w:eastAsia="zh-CN"/>
        </w:rPr>
        <w:t>）</w:t>
      </w:r>
      <w:r>
        <w:rPr>
          <w:rFonts w:hint="eastAsia" w:ascii="宋体" w:hAnsi="宋体"/>
          <w:color w:val="000000"/>
          <w:sz w:val="24"/>
        </w:rPr>
        <w:t>项目</w:t>
      </w:r>
      <w:r>
        <w:rPr>
          <w:rFonts w:hint="eastAsia" w:ascii="宋体" w:hAnsi="宋体"/>
          <w:color w:val="000000"/>
          <w:sz w:val="24"/>
          <w:u w:val="single"/>
        </w:rPr>
        <w:t xml:space="preserve">（项目编号：              </w:t>
      </w:r>
      <w:r>
        <w:rPr>
          <w:rFonts w:hint="eastAsia" w:ascii="宋体" w:hAnsi="宋体"/>
          <w:color w:val="000000"/>
          <w:sz w:val="24"/>
        </w:rPr>
        <w:t>）的竞投活动。</w:t>
      </w:r>
    </w:p>
    <w:p>
      <w:pPr>
        <w:spacing w:line="360" w:lineRule="auto"/>
        <w:ind w:firstLine="420"/>
        <w:rPr>
          <w:rFonts w:ascii="宋体" w:hAnsi="宋体"/>
          <w:color w:val="000000"/>
          <w:sz w:val="24"/>
        </w:rPr>
      </w:pPr>
      <w:r>
        <w:rPr>
          <w:rFonts w:hint="eastAsia" w:ascii="宋体" w:hAnsi="宋体"/>
          <w:color w:val="000000"/>
          <w:sz w:val="24"/>
        </w:rPr>
        <w:t>特此证明。</w:t>
      </w:r>
    </w:p>
    <w:p>
      <w:pPr>
        <w:spacing w:line="360" w:lineRule="auto"/>
        <w:ind w:firstLine="420"/>
        <w:rPr>
          <w:rFonts w:ascii="宋体" w:hAnsi="宋体"/>
          <w:color w:val="000000"/>
          <w:sz w:val="24"/>
        </w:rPr>
      </w:pPr>
    </w:p>
    <w:p>
      <w:pPr>
        <w:spacing w:line="360" w:lineRule="auto"/>
        <w:ind w:firstLine="420"/>
        <w:rPr>
          <w:rFonts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pPr>
        <w:spacing w:line="360" w:lineRule="auto"/>
        <w:ind w:firstLine="42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20"/>
        <w:rPr>
          <w:rFonts w:ascii="宋体" w:hAnsi="宋体"/>
          <w:color w:val="000000"/>
          <w:sz w:val="24"/>
          <w:u w:val="single"/>
        </w:rPr>
      </w:pPr>
    </w:p>
    <w:p>
      <w:pPr>
        <w:spacing w:line="360" w:lineRule="auto"/>
        <w:ind w:firstLine="420"/>
        <w:rPr>
          <w:rFonts w:ascii="宋体" w:hAnsi="宋体"/>
          <w:color w:val="000000"/>
          <w:sz w:val="24"/>
        </w:rPr>
      </w:pPr>
      <w:r>
        <w:rPr>
          <w:rFonts w:hint="eastAsia" w:ascii="宋体" w:hAnsi="宋体"/>
          <w:color w:val="000000"/>
          <w:sz w:val="24"/>
        </w:rPr>
        <w:t>注：</w:t>
      </w:r>
    </w:p>
    <w:p>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身份证复印件正面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rPr>
          <w:rFonts w:ascii="宋体" w:hAnsi="宋体"/>
          <w:color w:val="000000"/>
          <w:sz w:val="52"/>
          <w:szCs w:val="72"/>
        </w:rPr>
      </w:pPr>
      <w:r>
        <w:rPr>
          <w:rFonts w:hint="eastAsia" w:ascii="宋体" w:hAnsi="宋体"/>
          <w:color w:val="000000"/>
          <w:sz w:val="52"/>
          <w:szCs w:val="72"/>
        </w:rPr>
        <w:br w:type="page"/>
      </w:r>
    </w:p>
    <w:p>
      <w:pPr>
        <w:pStyle w:val="6"/>
        <w:jc w:val="center"/>
        <w:rPr>
          <w:highlight w:val="none"/>
        </w:rPr>
      </w:pPr>
      <w:bookmarkStart w:id="206" w:name="_Toc21948"/>
      <w:bookmarkStart w:id="207" w:name="_Toc24125"/>
      <w:bookmarkStart w:id="208" w:name="_Toc12822"/>
      <w:bookmarkStart w:id="209" w:name="_Toc5971"/>
      <w:bookmarkStart w:id="210" w:name="_Toc9695"/>
      <w:bookmarkStart w:id="211" w:name="_Toc10363"/>
      <w:bookmarkStart w:id="212" w:name="_Toc15997"/>
      <w:r>
        <w:rPr>
          <w:rFonts w:hint="eastAsia"/>
          <w:highlight w:val="none"/>
        </w:rPr>
        <w:t>采购项目内容及需求响应声明函</w:t>
      </w:r>
      <w:bookmarkEnd w:id="206"/>
      <w:bookmarkEnd w:id="207"/>
      <w:bookmarkEnd w:id="208"/>
      <w:bookmarkEnd w:id="209"/>
      <w:bookmarkEnd w:id="210"/>
      <w:bookmarkEnd w:id="211"/>
      <w:bookmarkEnd w:id="212"/>
      <w:bookmarkStart w:id="213" w:name="_Hlk37864362"/>
    </w:p>
    <w:p>
      <w:pPr>
        <w:spacing w:line="720" w:lineRule="auto"/>
        <w:rPr>
          <w:rFonts w:ascii="宋体" w:hAnsi="宋体"/>
          <w:b/>
          <w:kern w:val="0"/>
          <w:sz w:val="24"/>
          <w:highlight w:val="none"/>
        </w:rPr>
      </w:pPr>
      <w:r>
        <w:rPr>
          <w:rFonts w:hint="eastAsia" w:ascii="宋体" w:hAnsi="宋体"/>
          <w:b/>
          <w:kern w:val="0"/>
          <w:sz w:val="24"/>
          <w:highlight w:val="none"/>
        </w:rPr>
        <w:t>致</w:t>
      </w:r>
      <w:r>
        <w:rPr>
          <w:rFonts w:hint="eastAsia" w:ascii="宋体" w:hAnsi="宋体"/>
          <w:b/>
          <w:sz w:val="24"/>
          <w:highlight w:val="none"/>
        </w:rPr>
        <w:t>：广东省特种设备检测研究院顺德检测院：</w:t>
      </w:r>
    </w:p>
    <w:bookmarkEnd w:id="213"/>
    <w:p>
      <w:pPr>
        <w:tabs>
          <w:tab w:val="left" w:pos="6237"/>
        </w:tabs>
        <w:snapToGrid w:val="0"/>
        <w:spacing w:line="480" w:lineRule="auto"/>
        <w:ind w:firstLine="480" w:firstLineChars="200"/>
        <w:rPr>
          <w:rFonts w:ascii="宋体" w:hAnsi="宋体"/>
          <w:sz w:val="24"/>
          <w:highlight w:val="none"/>
        </w:rPr>
      </w:pPr>
      <w:r>
        <w:rPr>
          <w:rFonts w:hint="eastAsia" w:ascii="宋体" w:hAnsi="宋体" w:cs="宋体"/>
          <w:sz w:val="24"/>
          <w:highlight w:val="none"/>
        </w:rPr>
        <w:t>关于贵单位发布</w:t>
      </w:r>
      <w:r>
        <w:rPr>
          <w:rFonts w:hint="eastAsia" w:ascii="宋体" w:hAnsi="宋体"/>
          <w:b/>
          <w:bCs/>
          <w:color w:val="000000"/>
          <w:sz w:val="24"/>
          <w:highlight w:val="none"/>
          <w:u w:val="single"/>
        </w:rPr>
        <w:t>顺德检测院实验室用气与标准气体采购</w:t>
      </w:r>
      <w:r>
        <w:rPr>
          <w:rFonts w:hint="eastAsia" w:ascii="宋体" w:hAnsi="宋体"/>
          <w:b/>
          <w:bCs/>
          <w:color w:val="000000"/>
          <w:sz w:val="24"/>
          <w:highlight w:val="none"/>
          <w:u w:val="single"/>
          <w:lang w:eastAsia="zh-CN"/>
        </w:rPr>
        <w:t>（</w:t>
      </w:r>
      <w:r>
        <w:rPr>
          <w:rFonts w:hint="eastAsia" w:ascii="宋体" w:hAnsi="宋体"/>
          <w:b/>
          <w:bCs/>
          <w:color w:val="000000"/>
          <w:sz w:val="24"/>
          <w:highlight w:val="none"/>
          <w:u w:val="single"/>
          <w:lang w:val="en-US" w:eastAsia="zh-CN"/>
        </w:rPr>
        <w:t>二次</w:t>
      </w:r>
      <w:r>
        <w:rPr>
          <w:rFonts w:hint="eastAsia" w:ascii="宋体" w:hAnsi="宋体"/>
          <w:b/>
          <w:bCs/>
          <w:color w:val="000000"/>
          <w:sz w:val="24"/>
          <w:highlight w:val="none"/>
          <w:u w:val="single"/>
          <w:lang w:eastAsia="zh-CN"/>
        </w:rPr>
        <w:t>）</w:t>
      </w:r>
      <w:r>
        <w:rPr>
          <w:rFonts w:hint="eastAsia" w:ascii="宋体" w:hAnsi="宋体"/>
          <w:b/>
          <w:bCs/>
          <w:color w:val="000000"/>
          <w:sz w:val="24"/>
          <w:highlight w:val="none"/>
          <w:u w:val="single"/>
        </w:rPr>
        <w:t>项目</w:t>
      </w:r>
      <w:r>
        <w:rPr>
          <w:rFonts w:hint="eastAsia" w:ascii="宋体" w:hAnsi="宋体" w:cs="宋体"/>
          <w:sz w:val="24"/>
          <w:highlight w:val="none"/>
        </w:rPr>
        <w:t>的竞价公告，本公司（企业）愿意参加采购竞价活动，并作出如下声明：</w:t>
      </w:r>
    </w:p>
    <w:p>
      <w:pPr>
        <w:tabs>
          <w:tab w:val="left" w:pos="426"/>
        </w:tabs>
        <w:snapToGrid w:val="0"/>
        <w:spacing w:line="480" w:lineRule="auto"/>
        <w:ind w:firstLine="480" w:firstLineChars="200"/>
        <w:rPr>
          <w:rFonts w:ascii="宋体" w:hAnsi="宋体"/>
          <w:sz w:val="24"/>
          <w:highlight w:val="none"/>
        </w:rPr>
      </w:pPr>
      <w:r>
        <w:rPr>
          <w:rFonts w:hint="eastAsia" w:ascii="宋体" w:hAnsi="宋体" w:cs="宋体"/>
          <w:sz w:val="24"/>
          <w:highlight w:val="none"/>
        </w:rPr>
        <w:t>本公司（企业）承诺在报名时已对于采购项目内容及需求</w:t>
      </w:r>
      <w:r>
        <w:rPr>
          <w:rFonts w:hint="eastAsia" w:ascii="宋体" w:hAnsi="宋体" w:cs="宋体"/>
          <w:sz w:val="24"/>
          <w:highlight w:val="none"/>
          <w:lang w:val="en-US" w:eastAsia="zh-CN"/>
        </w:rPr>
        <w:t>中</w:t>
      </w:r>
      <w:r>
        <w:rPr>
          <w:rFonts w:hint="eastAsia" w:ascii="宋体" w:hAnsi="宋体" w:cs="宋体"/>
          <w:sz w:val="24"/>
          <w:highlight w:val="none"/>
        </w:rPr>
        <w:t>的各项条款、内容及要求给予充分考虑，明确承诺对于本项目的用户需求中的各项条款、内容及要求均为完全响应，不存在任意一条负偏离或不响应的情况。本公司（企业）清楚，若对于采购项目内容及需求</w:t>
      </w:r>
      <w:r>
        <w:rPr>
          <w:rFonts w:hint="eastAsia" w:ascii="宋体" w:hAnsi="宋体" w:cs="宋体"/>
          <w:sz w:val="24"/>
          <w:highlight w:val="none"/>
          <w:lang w:val="en-US" w:eastAsia="zh-CN"/>
        </w:rPr>
        <w:t>中</w:t>
      </w:r>
      <w:r>
        <w:rPr>
          <w:rFonts w:hint="eastAsia" w:ascii="宋体" w:hAnsi="宋体" w:cs="宋体"/>
          <w:sz w:val="24"/>
          <w:highlight w:val="none"/>
        </w:rPr>
        <w:t>各项条款存在任意一条负偏离或不响应的情况，不被推荐为成交候选人的要求。</w:t>
      </w:r>
    </w:p>
    <w:p>
      <w:pPr>
        <w:tabs>
          <w:tab w:val="left" w:pos="426"/>
        </w:tabs>
        <w:snapToGrid w:val="0"/>
        <w:spacing w:line="480" w:lineRule="auto"/>
        <w:ind w:firstLine="480" w:firstLineChars="200"/>
        <w:rPr>
          <w:rFonts w:ascii="宋体" w:hAnsi="宋体"/>
          <w:sz w:val="24"/>
          <w:highlight w:val="none"/>
        </w:rPr>
      </w:pPr>
      <w:r>
        <w:rPr>
          <w:rFonts w:hint="eastAsia" w:ascii="宋体" w:hAnsi="宋体" w:cs="宋体"/>
          <w:sz w:val="24"/>
          <w:highlight w:val="none"/>
        </w:rPr>
        <w:t>本公司（企业）承诺在本次采购活动中，如有违法、违规、弄虚作假行为，所造成的损失、不良后果及法律责任，一律由我公司（企业）承担。</w:t>
      </w:r>
    </w:p>
    <w:p>
      <w:pPr>
        <w:widowControl/>
        <w:jc w:val="left"/>
        <w:rPr>
          <w:rFonts w:ascii="宋体" w:hAnsi="宋体"/>
          <w:b/>
          <w:bCs/>
          <w:kern w:val="0"/>
          <w:sz w:val="32"/>
          <w:szCs w:val="32"/>
          <w:highlight w:val="none"/>
        </w:rPr>
      </w:pPr>
    </w:p>
    <w:p>
      <w:pPr>
        <w:wordWrap w:val="0"/>
        <w:spacing w:line="500" w:lineRule="exact"/>
        <w:jc w:val="right"/>
        <w:rPr>
          <w:rFonts w:ascii="宋体" w:hAnsi="宋体"/>
          <w:sz w:val="24"/>
          <w:highlight w:val="none"/>
          <w:u w:val="single"/>
        </w:rPr>
      </w:pPr>
      <w:r>
        <w:rPr>
          <w:rFonts w:hint="eastAsia" w:ascii="宋体" w:hAnsi="宋体" w:cs="宋体"/>
          <w:spacing w:val="4"/>
          <w:sz w:val="24"/>
          <w:highlight w:val="none"/>
        </w:rPr>
        <w:t>供应（服务）商名称（</w:t>
      </w:r>
      <w:r>
        <w:rPr>
          <w:rFonts w:hint="eastAsia" w:ascii="宋体" w:hAnsi="宋体" w:cs="宋体"/>
          <w:sz w:val="24"/>
          <w:highlight w:val="none"/>
        </w:rPr>
        <w:t>单位盖</w:t>
      </w:r>
      <w:r>
        <w:rPr>
          <w:rFonts w:hint="eastAsia" w:ascii="宋体" w:hAnsi="宋体" w:cs="宋体"/>
          <w:spacing w:val="4"/>
          <w:sz w:val="24"/>
          <w:highlight w:val="none"/>
        </w:rPr>
        <w:t>公章）：</w:t>
      </w:r>
      <w:r>
        <w:rPr>
          <w:rFonts w:ascii="宋体" w:hAnsi="宋体" w:cs="宋体"/>
          <w:spacing w:val="4"/>
          <w:sz w:val="24"/>
          <w:highlight w:val="none"/>
          <w:u w:val="single"/>
        </w:rPr>
        <w:t xml:space="preserve">                </w:t>
      </w:r>
    </w:p>
    <w:p>
      <w:pPr>
        <w:spacing w:line="500" w:lineRule="exact"/>
        <w:ind w:firstLine="120" w:firstLineChars="50"/>
        <w:jc w:val="right"/>
        <w:rPr>
          <w:rFonts w:ascii="宋体" w:hAnsi="宋体"/>
          <w:sz w:val="24"/>
          <w:highlight w:val="none"/>
          <w:u w:val="single"/>
        </w:rPr>
      </w:pPr>
    </w:p>
    <w:p>
      <w:pPr>
        <w:wordWrap w:val="0"/>
        <w:jc w:val="right"/>
        <w:rPr>
          <w:rFonts w:ascii="宋体" w:hAnsi="宋体"/>
          <w:sz w:val="24"/>
          <w:highlight w:val="none"/>
          <w:u w:val="single"/>
        </w:rPr>
      </w:pPr>
      <w:r>
        <w:rPr>
          <w:rFonts w:hint="eastAsia" w:ascii="宋体" w:hAnsi="宋体" w:cs="宋体"/>
          <w:spacing w:val="4"/>
          <w:sz w:val="24"/>
          <w:highlight w:val="none"/>
        </w:rPr>
        <w:t>日期：</w:t>
      </w:r>
      <w:r>
        <w:rPr>
          <w:rFonts w:ascii="宋体" w:hAnsi="宋体" w:cs="宋体"/>
          <w:spacing w:val="4"/>
          <w:sz w:val="24"/>
          <w:highlight w:val="none"/>
          <w:u w:val="single"/>
        </w:rPr>
        <w:t xml:space="preserve">                </w:t>
      </w:r>
    </w:p>
    <w:p>
      <w:pPr>
        <w:rPr>
          <w:highlight w:val="yellow"/>
        </w:rPr>
      </w:pPr>
    </w:p>
    <w:p>
      <w:pPr>
        <w:rPr>
          <w:rFonts w:ascii="宋体" w:hAnsi="宋体"/>
          <w:color w:val="000000"/>
          <w:sz w:val="52"/>
          <w:szCs w:val="72"/>
        </w:rPr>
      </w:pPr>
      <w:r>
        <w:rPr>
          <w:rFonts w:hint="eastAsia" w:ascii="宋体" w:hAnsi="宋体"/>
          <w:color w:val="000000"/>
          <w:sz w:val="52"/>
          <w:szCs w:val="72"/>
        </w:rPr>
        <w:br w:type="page"/>
      </w:r>
    </w:p>
    <w:p>
      <w:pPr>
        <w:pStyle w:val="4"/>
        <w:spacing w:line="360" w:lineRule="auto"/>
        <w:jc w:val="center"/>
        <w:rPr>
          <w:rFonts w:ascii="宋体" w:hAnsi="宋体"/>
          <w:color w:val="000000"/>
          <w:sz w:val="52"/>
          <w:szCs w:val="72"/>
        </w:rPr>
      </w:pPr>
      <w:bookmarkStart w:id="214" w:name="_Toc7016"/>
      <w:bookmarkStart w:id="215" w:name="_Toc7373"/>
      <w:bookmarkStart w:id="216" w:name="_Toc8030"/>
      <w:bookmarkStart w:id="217" w:name="_Toc27593"/>
      <w:bookmarkStart w:id="218" w:name="_Toc16971"/>
      <w:bookmarkStart w:id="219" w:name="_Toc28024"/>
      <w:bookmarkStart w:id="220" w:name="_Toc4481"/>
      <w:r>
        <w:rPr>
          <w:rFonts w:hint="eastAsia" w:ascii="宋体" w:hAnsi="宋体"/>
          <w:color w:val="000000"/>
          <w:sz w:val="52"/>
          <w:szCs w:val="72"/>
        </w:rPr>
        <w:t>第五章 附件</w:t>
      </w:r>
      <w:bookmarkEnd w:id="214"/>
      <w:bookmarkEnd w:id="215"/>
      <w:bookmarkEnd w:id="216"/>
      <w:bookmarkEnd w:id="217"/>
      <w:bookmarkEnd w:id="218"/>
      <w:bookmarkEnd w:id="219"/>
      <w:bookmarkEnd w:id="220"/>
    </w:p>
    <w:p>
      <w:pPr>
        <w:pStyle w:val="5"/>
        <w:snapToGrid w:val="0"/>
        <w:spacing w:before="120" w:beforeLines="50" w:after="120" w:afterLines="50" w:line="360" w:lineRule="auto"/>
        <w:jc w:val="center"/>
        <w:rPr>
          <w:b w:val="0"/>
        </w:rPr>
      </w:pPr>
      <w:bookmarkStart w:id="221" w:name="_Toc17694"/>
      <w:bookmarkStart w:id="222" w:name="_Toc5242"/>
      <w:bookmarkStart w:id="223" w:name="_Toc292"/>
      <w:bookmarkStart w:id="224" w:name="_Toc3264"/>
      <w:bookmarkStart w:id="225" w:name="_Toc23047"/>
      <w:bookmarkStart w:id="226" w:name="_Toc1944"/>
      <w:bookmarkStart w:id="227" w:name="_Toc11087"/>
      <w:r>
        <w:rPr>
          <w:rFonts w:hint="eastAsia"/>
          <w:b w:val="0"/>
        </w:rPr>
        <w:t>报价表</w:t>
      </w:r>
      <w:bookmarkEnd w:id="221"/>
      <w:bookmarkEnd w:id="222"/>
      <w:bookmarkEnd w:id="223"/>
      <w:bookmarkEnd w:id="224"/>
      <w:bookmarkEnd w:id="225"/>
      <w:bookmarkEnd w:id="226"/>
      <w:bookmarkEnd w:id="227"/>
    </w:p>
    <w:p/>
    <w:p>
      <w:pPr>
        <w:spacing w:line="480" w:lineRule="exact"/>
        <w:rPr>
          <w:rFonts w:ascii="宋体" w:hAnsi="宋体"/>
          <w:szCs w:val="20"/>
        </w:rPr>
      </w:pPr>
      <w:r>
        <w:rPr>
          <w:rFonts w:ascii="宋体" w:hAnsi="宋体"/>
          <w:szCs w:val="20"/>
        </w:rPr>
        <w:t>项目名称：</w:t>
      </w:r>
    </w:p>
    <w:p>
      <w:pPr>
        <w:spacing w:line="480" w:lineRule="exact"/>
        <w:rPr>
          <w:rFonts w:ascii="宋体" w:hAnsi="宋体"/>
          <w:szCs w:val="20"/>
          <w:u w:val="single"/>
        </w:rPr>
      </w:pPr>
      <w:r>
        <w:rPr>
          <w:rFonts w:ascii="宋体" w:hAnsi="宋体"/>
          <w:szCs w:val="20"/>
        </w:rPr>
        <w:t>项目编号：</w:t>
      </w:r>
    </w:p>
    <w:tbl>
      <w:tblPr>
        <w:tblStyle w:val="30"/>
        <w:tblW w:w="0" w:type="auto"/>
        <w:tblInd w:w="30" w:type="dxa"/>
        <w:tblLayout w:type="fixed"/>
        <w:tblCellMar>
          <w:top w:w="0" w:type="dxa"/>
          <w:left w:w="30" w:type="dxa"/>
          <w:bottom w:w="0" w:type="dxa"/>
          <w:right w:w="30" w:type="dxa"/>
        </w:tblCellMar>
      </w:tblPr>
      <w:tblGrid>
        <w:gridCol w:w="2458"/>
        <w:gridCol w:w="6731"/>
      </w:tblGrid>
      <w:tr>
        <w:trPr>
          <w:cantSplit/>
          <w:trHeight w:val="871" w:hRule="atLeast"/>
        </w:trPr>
        <w:tc>
          <w:tcPr>
            <w:tcW w:w="2458"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szCs w:val="21"/>
              </w:rPr>
            </w:pPr>
            <w:r>
              <w:rPr>
                <w:szCs w:val="21"/>
              </w:rPr>
              <w:t>总报价</w:t>
            </w:r>
          </w:p>
        </w:tc>
        <w:tc>
          <w:tcPr>
            <w:tcW w:w="6731" w:type="dxa"/>
            <w:tcBorders>
              <w:top w:val="single" w:color="auto" w:sz="6" w:space="0"/>
              <w:bottom w:val="single" w:color="auto" w:sz="6" w:space="0"/>
              <w:right w:val="double" w:color="auto" w:sz="4" w:space="0"/>
            </w:tcBorders>
            <w:vAlign w:val="center"/>
          </w:tcPr>
          <w:p>
            <w:pPr>
              <w:autoSpaceDE w:val="0"/>
              <w:autoSpaceDN w:val="0"/>
              <w:adjustRightInd w:val="0"/>
              <w:spacing w:line="480" w:lineRule="exact"/>
              <w:jc w:val="center"/>
              <w:rPr>
                <w:szCs w:val="21"/>
              </w:rPr>
            </w:pPr>
            <w:r>
              <w:rPr>
                <w:rFonts w:hint="eastAsia"/>
                <w:szCs w:val="21"/>
              </w:rPr>
              <w:t>投标折扣率：______%（保留</w:t>
            </w:r>
            <w:r>
              <w:rPr>
                <w:szCs w:val="21"/>
              </w:rPr>
              <w:t>小数点后两位</w:t>
            </w:r>
            <w:r>
              <w:rPr>
                <w:rFonts w:hint="eastAsia"/>
                <w:szCs w:val="21"/>
              </w:rPr>
              <w:t>）</w:t>
            </w:r>
          </w:p>
        </w:tc>
      </w:tr>
    </w:tbl>
    <w:p>
      <w:pPr>
        <w:spacing w:line="360" w:lineRule="auto"/>
        <w:rPr>
          <w:rFonts w:ascii="宋体" w:hAnsi="宋体"/>
          <w:szCs w:val="21"/>
        </w:rPr>
      </w:pPr>
      <w:r>
        <w:rPr>
          <w:rFonts w:ascii="宋体" w:hAnsi="宋体"/>
          <w:szCs w:val="21"/>
        </w:rPr>
        <w:t>注：</w:t>
      </w:r>
    </w:p>
    <w:p>
      <w:pPr>
        <w:spacing w:line="360" w:lineRule="auto"/>
        <w:rPr>
          <w:rFonts w:ascii="宋体" w:hAnsi="宋体"/>
        </w:rPr>
      </w:pPr>
      <w:r>
        <w:rPr>
          <w:rFonts w:ascii="宋体" w:hAnsi="宋体"/>
        </w:rPr>
        <w:t>1、投标人须按要求填写所有信息，不得随意更改本表格式。</w:t>
      </w:r>
    </w:p>
    <w:p>
      <w:pPr>
        <w:spacing w:line="360" w:lineRule="auto"/>
        <w:rPr>
          <w:rFonts w:ascii="宋体" w:hAnsi="宋体"/>
        </w:rPr>
      </w:pPr>
      <w:r>
        <w:rPr>
          <w:rFonts w:hint="eastAsia" w:ascii="宋体" w:hAnsi="宋体"/>
        </w:rPr>
        <w:t>2、</w:t>
      </w:r>
      <w:r>
        <w:rPr>
          <w:rFonts w:hint="eastAsia" w:ascii="宋体" w:hAnsi="宋体"/>
          <w:bCs/>
          <w:szCs w:val="21"/>
        </w:rPr>
        <w:t>投标人根据自身能力报出所投的折扣率b％（</w:t>
      </w:r>
      <w:r>
        <w:rPr>
          <w:rFonts w:hint="eastAsia" w:ascii="宋体" w:hAnsi="宋体" w:cs="宋体"/>
          <w:kern w:val="0"/>
          <w:szCs w:val="21"/>
        </w:rPr>
        <w:t>b值精确到小数点后两位，</w:t>
      </w:r>
      <w:r>
        <w:rPr>
          <w:rFonts w:hint="eastAsia" w:ascii="宋体" w:hAnsi="宋体"/>
          <w:b/>
          <w:bCs/>
          <w:szCs w:val="21"/>
        </w:rPr>
        <w:t>报价范围为： 0%＜b≤100%，</w:t>
      </w:r>
      <w:r>
        <w:rPr>
          <w:rFonts w:hint="eastAsia" w:ascii="宋体" w:hAnsi="宋体" w:cs="宋体"/>
          <w:kern w:val="0"/>
          <w:szCs w:val="21"/>
        </w:rPr>
        <w:t>报价</w:t>
      </w:r>
      <w:r>
        <w:rPr>
          <w:rFonts w:ascii="宋体" w:hAnsi="宋体" w:cs="宋体"/>
          <w:kern w:val="0"/>
          <w:szCs w:val="21"/>
        </w:rPr>
        <w:t>不得超出此范围，否则视为无效报价。</w:t>
      </w:r>
      <w:r>
        <w:rPr>
          <w:rFonts w:hint="eastAsia" w:ascii="宋体" w:hAnsi="宋体"/>
          <w:bCs/>
          <w:szCs w:val="21"/>
        </w:rPr>
        <w:t>）</w:t>
      </w:r>
    </w:p>
    <w:p>
      <w:pPr>
        <w:adjustRightInd w:val="0"/>
        <w:snapToGrid w:val="0"/>
        <w:spacing w:line="360" w:lineRule="auto"/>
        <w:rPr>
          <w:rFonts w:ascii="宋体" w:hAnsi="宋体"/>
          <w:szCs w:val="21"/>
        </w:rPr>
      </w:pPr>
      <w:r>
        <w:rPr>
          <w:rFonts w:ascii="宋体" w:hAnsi="宋体"/>
          <w:szCs w:val="21"/>
        </w:rPr>
        <w:t>3、</w:t>
      </w:r>
      <w:r>
        <w:rPr>
          <w:rFonts w:hint="eastAsia" w:hAnsi="宋体"/>
          <w:bCs/>
          <w:szCs w:val="21"/>
        </w:rPr>
        <w:t>实际结算价格必须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pPr>
        <w:spacing w:line="360" w:lineRule="auto"/>
        <w:rPr>
          <w:rFonts w:ascii="宋体" w:hAnsi="宋体"/>
        </w:rPr>
      </w:pPr>
      <w:r>
        <w:rPr>
          <w:rFonts w:ascii="宋体" w:hAnsi="宋体"/>
        </w:rPr>
        <w:t>4、表中所有价格必须填写（不能空白）。</w:t>
      </w:r>
    </w:p>
    <w:p>
      <w:pPr>
        <w:adjustRightInd w:val="0"/>
        <w:snapToGrid w:val="0"/>
        <w:spacing w:line="360" w:lineRule="auto"/>
        <w:rPr>
          <w:rFonts w:hAnsi="宋体"/>
          <w:bCs/>
          <w:szCs w:val="21"/>
        </w:rPr>
      </w:pPr>
      <w:r>
        <w:rPr>
          <w:rFonts w:hint="eastAsia" w:hAnsi="宋体"/>
          <w:bCs/>
          <w:szCs w:val="21"/>
        </w:rPr>
        <w:t>5、实际采购的实验室用气与标准气体，根据业务需求不一定完全和采购清单相同，若采购人需购买不在采购清单内的实验室用气与标准气体，也按照竞得人的成交价折扣率计算。</w:t>
      </w:r>
    </w:p>
    <w:p>
      <w:pPr>
        <w:pStyle w:val="2"/>
      </w:pPr>
    </w:p>
    <w:p>
      <w:pPr>
        <w:spacing w:line="360" w:lineRule="auto"/>
        <w:rPr>
          <w:rFonts w:ascii="宋体" w:hAnsi="宋体"/>
          <w:szCs w:val="21"/>
        </w:rPr>
      </w:pPr>
    </w:p>
    <w:p>
      <w:pPr>
        <w:spacing w:line="360" w:lineRule="auto"/>
        <w:rPr>
          <w:rFonts w:ascii="宋体" w:hAnsi="宋体"/>
          <w:szCs w:val="21"/>
        </w:rPr>
      </w:pPr>
    </w:p>
    <w:p>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pPr>
        <w:adjustRightInd w:val="0"/>
        <w:snapToGrid w:val="0"/>
        <w:spacing w:line="360" w:lineRule="auto"/>
        <w:rPr>
          <w:rFonts w:ascii="宋体" w:hAnsi="宋体"/>
          <w:szCs w:val="21"/>
        </w:rPr>
      </w:pPr>
      <w:r>
        <w:rPr>
          <w:szCs w:val="21"/>
        </w:rPr>
        <w:t>日期：   年   月   日</w:t>
      </w:r>
    </w:p>
    <w:p>
      <w:pPr>
        <w:tabs>
          <w:tab w:val="left" w:pos="360"/>
          <w:tab w:val="left" w:pos="840"/>
        </w:tabs>
        <w:snapToGrid w:val="0"/>
        <w:spacing w:line="200" w:lineRule="exact"/>
        <w:rPr>
          <w:rFonts w:ascii="宋体" w:hAnsi="宋体"/>
          <w:b/>
          <w:szCs w:val="21"/>
        </w:rPr>
      </w:pPr>
    </w:p>
    <w:sectPr>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B0604020202020204"/>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3"/>
      </w:rPr>
    </w:pPr>
    <w:r>
      <w:rPr>
        <w:rStyle w:val="33"/>
        <w:rFonts w:hint="eastAsia"/>
      </w:rPr>
      <w:t xml:space="preserve">                                                                                                                            </w:t>
    </w:r>
  </w:p>
  <w:p>
    <w:pPr>
      <w:pStyle w:val="22"/>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rPr>
    </w:pPr>
    <w:r>
      <w:fldChar w:fldCharType="begin"/>
    </w:r>
    <w:r>
      <w:rPr>
        <w:rStyle w:val="33"/>
      </w:rPr>
      <w:instrText xml:space="preserve">PAGE  </w:instrText>
    </w:r>
    <w:r>
      <w:fldChar w:fldCharType="separate"/>
    </w:r>
    <w:r>
      <w:rPr>
        <w:rStyle w:val="33"/>
      </w:rPr>
      <w:t>5</w: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fill on="f" focussize="0,0"/>
              <v:stroke on="f" weight="1.25pt"/>
              <v:imagedata o:title=""/>
              <o:lock v:ext="edit" aspectratio="f"/>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23</w:t>
                          </w:r>
                          <w:r>
                            <w:rPr>
                              <w:rFonts w:hint="eastAsia"/>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fill on="f" focussize="0,0"/>
              <v:stroke on="f" weight="1.25pt"/>
              <v:imagedata o:title=""/>
              <o:lock v:ext="edit" aspectratio="f"/>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23</w:t>
                    </w:r>
                    <w:r>
                      <w:rPr>
                        <w:rFonts w:hint="eastAsia"/>
                      </w:rPr>
                      <w:t xml:space="preserve"> 页</w:t>
                    </w:r>
                  </w:p>
                </w:txbxContent>
              </v:textbox>
            </v:shape>
          </w:pict>
        </mc:Fallback>
      </mc:AlternateContent>
    </w:r>
    <w:r>
      <w:rPr>
        <w:rStyle w:val="33"/>
        <w:rFonts w:hint="eastAsia"/>
      </w:rPr>
      <w:t xml:space="preserve">                                                                                                                            </w:t>
    </w:r>
  </w:p>
  <w:p>
    <w:pPr>
      <w:pStyle w:val="22"/>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4D17E"/>
    <w:multiLevelType w:val="singleLevel"/>
    <w:tmpl w:val="D6F4D17E"/>
    <w:lvl w:ilvl="0" w:tentative="0">
      <w:start w:val="2"/>
      <w:numFmt w:val="chineseCounting"/>
      <w:suff w:val="nothing"/>
      <w:lvlText w:val="（%1）"/>
      <w:lvlJc w:val="left"/>
      <w:pPr>
        <w:ind w:left="420" w:leftChars="0" w:firstLine="0" w:firstLineChars="0"/>
      </w:pPr>
      <w:rPr>
        <w:rFonts w:hint="eastAsia"/>
      </w:rPr>
    </w:lvl>
  </w:abstractNum>
  <w:abstractNum w:abstractNumId="1">
    <w:nsid w:val="00000001"/>
    <w:multiLevelType w:val="multilevel"/>
    <w:tmpl w:val="00000001"/>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0"/>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6">
    <w:nsid w:val="4D1612B3"/>
    <w:multiLevelType w:val="multilevel"/>
    <w:tmpl w:val="4D1612B3"/>
    <w:lvl w:ilvl="0" w:tentative="0">
      <w:start w:val="1"/>
      <w:numFmt w:val="decimal"/>
      <w:lvlText w:val="%1"/>
      <w:lvlJc w:val="left"/>
      <w:pPr>
        <w:ind w:left="42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5CC1DAA3"/>
    <w:multiLevelType w:val="singleLevel"/>
    <w:tmpl w:val="5CC1DAA3"/>
    <w:lvl w:ilvl="0" w:tentative="0">
      <w:start w:val="2"/>
      <w:numFmt w:val="decimal"/>
      <w:suff w:val="space"/>
      <w:lvlText w:val="%1."/>
      <w:lvlJc w:val="left"/>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OWUxNjJjYzNhOWM0NDI5NjczYTA2MzY0NzcwNTkifQ=="/>
  </w:docVars>
  <w:rsids>
    <w:rsidRoot w:val="00172A27"/>
    <w:rsid w:val="00016668"/>
    <w:rsid w:val="0005311B"/>
    <w:rsid w:val="0007347A"/>
    <w:rsid w:val="00086B7B"/>
    <w:rsid w:val="00093AD0"/>
    <w:rsid w:val="00172A27"/>
    <w:rsid w:val="001B1B21"/>
    <w:rsid w:val="001B3AD7"/>
    <w:rsid w:val="001C2DCC"/>
    <w:rsid w:val="001E1373"/>
    <w:rsid w:val="002B11C5"/>
    <w:rsid w:val="002B395E"/>
    <w:rsid w:val="0036161A"/>
    <w:rsid w:val="0037559A"/>
    <w:rsid w:val="003A201D"/>
    <w:rsid w:val="0040737D"/>
    <w:rsid w:val="004164CA"/>
    <w:rsid w:val="004166B1"/>
    <w:rsid w:val="004863EA"/>
    <w:rsid w:val="004A4129"/>
    <w:rsid w:val="00530BF2"/>
    <w:rsid w:val="00542501"/>
    <w:rsid w:val="0056684A"/>
    <w:rsid w:val="005E4BA8"/>
    <w:rsid w:val="005F12AE"/>
    <w:rsid w:val="00605361"/>
    <w:rsid w:val="00607B8B"/>
    <w:rsid w:val="0062025B"/>
    <w:rsid w:val="00641046"/>
    <w:rsid w:val="0065118D"/>
    <w:rsid w:val="006852A4"/>
    <w:rsid w:val="006E5335"/>
    <w:rsid w:val="0074219D"/>
    <w:rsid w:val="0078400F"/>
    <w:rsid w:val="007A09C2"/>
    <w:rsid w:val="007B25EC"/>
    <w:rsid w:val="007C623C"/>
    <w:rsid w:val="007D591B"/>
    <w:rsid w:val="007D77F4"/>
    <w:rsid w:val="00801517"/>
    <w:rsid w:val="00916A36"/>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5B06"/>
    <w:rsid w:val="00BE7441"/>
    <w:rsid w:val="00CA7134"/>
    <w:rsid w:val="00CF0491"/>
    <w:rsid w:val="00CF38DF"/>
    <w:rsid w:val="00D57A6D"/>
    <w:rsid w:val="00DE2476"/>
    <w:rsid w:val="00DE6C7C"/>
    <w:rsid w:val="00DF731F"/>
    <w:rsid w:val="00E30986"/>
    <w:rsid w:val="00E40B6B"/>
    <w:rsid w:val="00E9035E"/>
    <w:rsid w:val="00F03ED8"/>
    <w:rsid w:val="00F16C60"/>
    <w:rsid w:val="01437511"/>
    <w:rsid w:val="017859C5"/>
    <w:rsid w:val="01B870E6"/>
    <w:rsid w:val="02316E1B"/>
    <w:rsid w:val="02331C1D"/>
    <w:rsid w:val="0289774C"/>
    <w:rsid w:val="04210E57"/>
    <w:rsid w:val="06151054"/>
    <w:rsid w:val="061F0B38"/>
    <w:rsid w:val="063A3CBF"/>
    <w:rsid w:val="063F737B"/>
    <w:rsid w:val="06E865AD"/>
    <w:rsid w:val="070B7246"/>
    <w:rsid w:val="07AE51D0"/>
    <w:rsid w:val="07CC5F8F"/>
    <w:rsid w:val="08F04F6F"/>
    <w:rsid w:val="08F16230"/>
    <w:rsid w:val="09097FE0"/>
    <w:rsid w:val="093F51ED"/>
    <w:rsid w:val="0ABA7BCB"/>
    <w:rsid w:val="0D0F6972"/>
    <w:rsid w:val="0DDC1B4D"/>
    <w:rsid w:val="0E667279"/>
    <w:rsid w:val="0E9503EE"/>
    <w:rsid w:val="0F162B4E"/>
    <w:rsid w:val="0F4D2578"/>
    <w:rsid w:val="0FA72F03"/>
    <w:rsid w:val="10534B69"/>
    <w:rsid w:val="10595389"/>
    <w:rsid w:val="106222C4"/>
    <w:rsid w:val="108170C8"/>
    <w:rsid w:val="11F938F0"/>
    <w:rsid w:val="12614638"/>
    <w:rsid w:val="12672F23"/>
    <w:rsid w:val="12E12FE3"/>
    <w:rsid w:val="13400D1B"/>
    <w:rsid w:val="135D2E40"/>
    <w:rsid w:val="138235CA"/>
    <w:rsid w:val="140E1750"/>
    <w:rsid w:val="1422381A"/>
    <w:rsid w:val="149A4503"/>
    <w:rsid w:val="14D2074B"/>
    <w:rsid w:val="16732C2C"/>
    <w:rsid w:val="168F45E9"/>
    <w:rsid w:val="16ED73A3"/>
    <w:rsid w:val="17115129"/>
    <w:rsid w:val="17256A0E"/>
    <w:rsid w:val="174C1F72"/>
    <w:rsid w:val="184A6951"/>
    <w:rsid w:val="19C11343"/>
    <w:rsid w:val="1A3E4FEF"/>
    <w:rsid w:val="1A75634A"/>
    <w:rsid w:val="1A9A12BC"/>
    <w:rsid w:val="1A9C3DB4"/>
    <w:rsid w:val="1BB17AD1"/>
    <w:rsid w:val="1BC53330"/>
    <w:rsid w:val="1C0C6880"/>
    <w:rsid w:val="1C8B1061"/>
    <w:rsid w:val="1D1D63D2"/>
    <w:rsid w:val="1DA4228D"/>
    <w:rsid w:val="1DE23A9B"/>
    <w:rsid w:val="1E1A395F"/>
    <w:rsid w:val="1E5B25F5"/>
    <w:rsid w:val="1E7F0598"/>
    <w:rsid w:val="1EAC455F"/>
    <w:rsid w:val="1F0817FC"/>
    <w:rsid w:val="1F750F50"/>
    <w:rsid w:val="1FA42BEE"/>
    <w:rsid w:val="1FED6A09"/>
    <w:rsid w:val="20043FE8"/>
    <w:rsid w:val="2073051D"/>
    <w:rsid w:val="21184766"/>
    <w:rsid w:val="21262AEB"/>
    <w:rsid w:val="223A6AE3"/>
    <w:rsid w:val="22493268"/>
    <w:rsid w:val="239D6EAE"/>
    <w:rsid w:val="244601D2"/>
    <w:rsid w:val="25A01569"/>
    <w:rsid w:val="25D551A6"/>
    <w:rsid w:val="26724558"/>
    <w:rsid w:val="26814E40"/>
    <w:rsid w:val="26A276C5"/>
    <w:rsid w:val="270450A1"/>
    <w:rsid w:val="27C72775"/>
    <w:rsid w:val="285E020F"/>
    <w:rsid w:val="285F61F6"/>
    <w:rsid w:val="29103C89"/>
    <w:rsid w:val="2A690997"/>
    <w:rsid w:val="2AE44C51"/>
    <w:rsid w:val="2BD900EA"/>
    <w:rsid w:val="2CC623F8"/>
    <w:rsid w:val="2D1E7D4F"/>
    <w:rsid w:val="2E2547C1"/>
    <w:rsid w:val="2E5F65B7"/>
    <w:rsid w:val="2EE61C43"/>
    <w:rsid w:val="2EF538B0"/>
    <w:rsid w:val="2F14311F"/>
    <w:rsid w:val="2FE24D14"/>
    <w:rsid w:val="30064785"/>
    <w:rsid w:val="30576A3F"/>
    <w:rsid w:val="307E1B69"/>
    <w:rsid w:val="31E10F22"/>
    <w:rsid w:val="31E57E30"/>
    <w:rsid w:val="33417A27"/>
    <w:rsid w:val="33C5586F"/>
    <w:rsid w:val="349C5D03"/>
    <w:rsid w:val="34E532CF"/>
    <w:rsid w:val="3517583E"/>
    <w:rsid w:val="354108C3"/>
    <w:rsid w:val="35476B86"/>
    <w:rsid w:val="35A372CF"/>
    <w:rsid w:val="35C27910"/>
    <w:rsid w:val="35C33F08"/>
    <w:rsid w:val="365631F1"/>
    <w:rsid w:val="36A54469"/>
    <w:rsid w:val="38F10254"/>
    <w:rsid w:val="396C7FA3"/>
    <w:rsid w:val="39EE3727"/>
    <w:rsid w:val="3A6D4BEB"/>
    <w:rsid w:val="3AC06225"/>
    <w:rsid w:val="3AF35D6A"/>
    <w:rsid w:val="3B575455"/>
    <w:rsid w:val="3B5A3062"/>
    <w:rsid w:val="3BC10D7E"/>
    <w:rsid w:val="3BFD628D"/>
    <w:rsid w:val="3D283F5F"/>
    <w:rsid w:val="3D2F204B"/>
    <w:rsid w:val="3D5D00E5"/>
    <w:rsid w:val="3D8A6E17"/>
    <w:rsid w:val="3DDA7F93"/>
    <w:rsid w:val="3E464D24"/>
    <w:rsid w:val="3E4D4398"/>
    <w:rsid w:val="3F9F3C83"/>
    <w:rsid w:val="3FA10220"/>
    <w:rsid w:val="3FC26F51"/>
    <w:rsid w:val="40532D51"/>
    <w:rsid w:val="40BE0DB2"/>
    <w:rsid w:val="40C46227"/>
    <w:rsid w:val="41034D34"/>
    <w:rsid w:val="4116506B"/>
    <w:rsid w:val="423441AD"/>
    <w:rsid w:val="42446DF5"/>
    <w:rsid w:val="42C30832"/>
    <w:rsid w:val="42C638AF"/>
    <w:rsid w:val="42E87261"/>
    <w:rsid w:val="42F41741"/>
    <w:rsid w:val="430B2961"/>
    <w:rsid w:val="4337388E"/>
    <w:rsid w:val="434B76F5"/>
    <w:rsid w:val="44617FBA"/>
    <w:rsid w:val="446A04A9"/>
    <w:rsid w:val="44C34D3E"/>
    <w:rsid w:val="45AC5B86"/>
    <w:rsid w:val="46D600A0"/>
    <w:rsid w:val="47231BBC"/>
    <w:rsid w:val="478E1476"/>
    <w:rsid w:val="47BF4CF5"/>
    <w:rsid w:val="48D16F09"/>
    <w:rsid w:val="49E365FC"/>
    <w:rsid w:val="4A6E0B64"/>
    <w:rsid w:val="4A9D290B"/>
    <w:rsid w:val="4AD618F0"/>
    <w:rsid w:val="4B043FA0"/>
    <w:rsid w:val="4B7635FE"/>
    <w:rsid w:val="4C034013"/>
    <w:rsid w:val="4C4D0ABF"/>
    <w:rsid w:val="4D6A1257"/>
    <w:rsid w:val="4DFE0C9B"/>
    <w:rsid w:val="4E085512"/>
    <w:rsid w:val="4E632871"/>
    <w:rsid w:val="4E814285"/>
    <w:rsid w:val="4E98265C"/>
    <w:rsid w:val="4EA469E5"/>
    <w:rsid w:val="4EDE29F2"/>
    <w:rsid w:val="4EEC6489"/>
    <w:rsid w:val="4F34315D"/>
    <w:rsid w:val="4F7045FB"/>
    <w:rsid w:val="4F946912"/>
    <w:rsid w:val="4FAA3EA1"/>
    <w:rsid w:val="50243216"/>
    <w:rsid w:val="50DB43AF"/>
    <w:rsid w:val="50FD48EA"/>
    <w:rsid w:val="51DA24E5"/>
    <w:rsid w:val="51DB3C59"/>
    <w:rsid w:val="52FB3F3C"/>
    <w:rsid w:val="534E0D1D"/>
    <w:rsid w:val="5369000F"/>
    <w:rsid w:val="5371478A"/>
    <w:rsid w:val="537712D5"/>
    <w:rsid w:val="53DB0926"/>
    <w:rsid w:val="54564F2C"/>
    <w:rsid w:val="547D422D"/>
    <w:rsid w:val="5547105B"/>
    <w:rsid w:val="556F7038"/>
    <w:rsid w:val="559173C4"/>
    <w:rsid w:val="55AE10CB"/>
    <w:rsid w:val="55CA2703"/>
    <w:rsid w:val="56281636"/>
    <w:rsid w:val="564F7456"/>
    <w:rsid w:val="56757125"/>
    <w:rsid w:val="570104F4"/>
    <w:rsid w:val="58742BFC"/>
    <w:rsid w:val="58CD63AE"/>
    <w:rsid w:val="5920298F"/>
    <w:rsid w:val="5BE130B9"/>
    <w:rsid w:val="5C0E1115"/>
    <w:rsid w:val="5CBD165C"/>
    <w:rsid w:val="5CF41A7E"/>
    <w:rsid w:val="5D072AA1"/>
    <w:rsid w:val="5D1B4B46"/>
    <w:rsid w:val="5EEC7FD7"/>
    <w:rsid w:val="5FAA3E0A"/>
    <w:rsid w:val="5FFC5C0E"/>
    <w:rsid w:val="5FFF7621"/>
    <w:rsid w:val="60507B74"/>
    <w:rsid w:val="606A5821"/>
    <w:rsid w:val="60DB671F"/>
    <w:rsid w:val="6111376C"/>
    <w:rsid w:val="61842912"/>
    <w:rsid w:val="626A57BC"/>
    <w:rsid w:val="62D65CCD"/>
    <w:rsid w:val="63A172DC"/>
    <w:rsid w:val="63E5337F"/>
    <w:rsid w:val="64E90314"/>
    <w:rsid w:val="650E4E75"/>
    <w:rsid w:val="653B6F00"/>
    <w:rsid w:val="653F2A61"/>
    <w:rsid w:val="656D2D76"/>
    <w:rsid w:val="65860192"/>
    <w:rsid w:val="659A0956"/>
    <w:rsid w:val="65B120D8"/>
    <w:rsid w:val="663403D6"/>
    <w:rsid w:val="66AE135A"/>
    <w:rsid w:val="66EF1BEE"/>
    <w:rsid w:val="6709600A"/>
    <w:rsid w:val="671D3DFD"/>
    <w:rsid w:val="681C05BE"/>
    <w:rsid w:val="69D51289"/>
    <w:rsid w:val="6A127B4C"/>
    <w:rsid w:val="6BCF0386"/>
    <w:rsid w:val="6C7939F8"/>
    <w:rsid w:val="6D8C4E4D"/>
    <w:rsid w:val="6E17142D"/>
    <w:rsid w:val="6EA33C0D"/>
    <w:rsid w:val="6EB85ABF"/>
    <w:rsid w:val="6EFF06EA"/>
    <w:rsid w:val="710B1683"/>
    <w:rsid w:val="710F1294"/>
    <w:rsid w:val="71A5490B"/>
    <w:rsid w:val="73D00F12"/>
    <w:rsid w:val="748A124E"/>
    <w:rsid w:val="753E10E9"/>
    <w:rsid w:val="76395D47"/>
    <w:rsid w:val="77AC3BC5"/>
    <w:rsid w:val="786646C8"/>
    <w:rsid w:val="78784239"/>
    <w:rsid w:val="78B71ACC"/>
    <w:rsid w:val="79657CB7"/>
    <w:rsid w:val="79C6138D"/>
    <w:rsid w:val="79E875B4"/>
    <w:rsid w:val="7A1251F3"/>
    <w:rsid w:val="7A1F2E29"/>
    <w:rsid w:val="7C114908"/>
    <w:rsid w:val="7C3850B7"/>
    <w:rsid w:val="7DC87569"/>
    <w:rsid w:val="7DD6409E"/>
    <w:rsid w:val="7E110D76"/>
    <w:rsid w:val="7EC23D83"/>
    <w:rsid w:val="7F34107C"/>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annotation subject"/>
    <w:basedOn w:val="15"/>
    <w:next w:val="15"/>
    <w:qFormat/>
    <w:uiPriority w:val="0"/>
    <w:rPr>
      <w:b/>
      <w:bCs/>
    </w:rPr>
  </w:style>
  <w:style w:type="character" w:styleId="32">
    <w:name w:val="Strong"/>
    <w:qFormat/>
    <w:uiPriority w:val="0"/>
    <w:rPr>
      <w:rFonts w:eastAsia="黑体"/>
      <w:b/>
      <w:bCs/>
      <w:sz w:val="44"/>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标题1"/>
    <w:basedOn w:val="31"/>
    <w:qFormat/>
    <w:uiPriority w:val="0"/>
  </w:style>
  <w:style w:type="paragraph" w:customStyle="1" w:styleId="38">
    <w:name w:val="条目"/>
    <w:basedOn w:val="1"/>
    <w:next w:val="8"/>
    <w:qFormat/>
    <w:uiPriority w:val="0"/>
    <w:pPr>
      <w:spacing w:before="156" w:beforeLines="50"/>
      <w:ind w:left="851" w:hanging="851"/>
      <w:outlineLvl w:val="3"/>
    </w:pPr>
    <w:rPr>
      <w:rFonts w:ascii="Garamond" w:hAnsi="Garamond" w:eastAsia="楷体_GB2312"/>
      <w:sz w:val="24"/>
    </w:rPr>
  </w:style>
  <w:style w:type="paragraph" w:customStyle="1" w:styleId="39">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0">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脚 New New New New New New New New New New New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缩进 New New New New New"/>
    <w:basedOn w:val="1"/>
    <w:qFormat/>
    <w:uiPriority w:val="0"/>
    <w:pPr>
      <w:spacing w:line="500" w:lineRule="exact"/>
      <w:ind w:firstLine="540" w:firstLineChars="225"/>
    </w:pPr>
    <w:rPr>
      <w:sz w:val="24"/>
    </w:rPr>
  </w:style>
  <w:style w:type="paragraph" w:customStyle="1" w:styleId="48">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9">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节"/>
    <w:basedOn w:val="1"/>
    <w:next w:val="8"/>
    <w:qFormat/>
    <w:uiPriority w:val="0"/>
    <w:pPr>
      <w:tabs>
        <w:tab w:val="left" w:pos="567"/>
      </w:tabs>
      <w:spacing w:before="156" w:beforeLines="50" w:after="156" w:afterLines="50"/>
      <w:ind w:left="567" w:hanging="567"/>
      <w:jc w:val="center"/>
      <w:outlineLvl w:val="1"/>
    </w:pPr>
    <w:rPr>
      <w:b/>
      <w:sz w:val="30"/>
    </w:rPr>
  </w:style>
  <w:style w:type="paragraph" w:customStyle="1" w:styleId="5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文本缩进 New New New New"/>
    <w:basedOn w:val="1"/>
    <w:qFormat/>
    <w:uiPriority w:val="0"/>
    <w:pPr>
      <w:spacing w:line="500" w:lineRule="exact"/>
      <w:ind w:firstLine="540" w:firstLineChars="225"/>
    </w:pPr>
    <w:rPr>
      <w:sz w:val="24"/>
    </w:rPr>
  </w:style>
  <w:style w:type="paragraph" w:customStyle="1" w:styleId="59">
    <w:name w:val="页脚 New New New New New New New"/>
    <w:basedOn w:val="1"/>
    <w:qFormat/>
    <w:uiPriority w:val="0"/>
    <w:pPr>
      <w:tabs>
        <w:tab w:val="center" w:pos="4153"/>
        <w:tab w:val="right" w:pos="8306"/>
      </w:tabs>
      <w:snapToGrid w:val="0"/>
      <w:jc w:val="left"/>
    </w:pPr>
    <w:rPr>
      <w:sz w:val="18"/>
      <w:szCs w:val="18"/>
    </w:rPr>
  </w:style>
  <w:style w:type="paragraph" w:customStyle="1" w:styleId="60">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1">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2">
    <w:name w:val="正文文本缩进 New New New"/>
    <w:basedOn w:val="63"/>
    <w:qFormat/>
    <w:uiPriority w:val="0"/>
    <w:pPr>
      <w:spacing w:line="500" w:lineRule="exact"/>
      <w:ind w:firstLine="540" w:firstLineChars="225"/>
    </w:pPr>
    <w:rPr>
      <w:sz w:val="24"/>
    </w:rPr>
  </w:style>
  <w:style w:type="paragraph" w:customStyle="1" w:styleId="6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0">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页脚 New New New New New New New New"/>
    <w:basedOn w:val="73"/>
    <w:qFormat/>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5">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7">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86">
    <w:name w:val="正文文本缩进 New New New New New New New New"/>
    <w:basedOn w:val="1"/>
    <w:qFormat/>
    <w:uiPriority w:val="0"/>
    <w:pPr>
      <w:spacing w:line="500" w:lineRule="exact"/>
      <w:ind w:firstLine="540" w:firstLineChars="225"/>
    </w:pPr>
    <w:rPr>
      <w:sz w:val="24"/>
    </w:rPr>
  </w:style>
  <w:style w:type="paragraph" w:customStyle="1" w:styleId="8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0">
    <w:name w:val="页脚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91">
    <w:name w:val="页脚 New New New New New New New New New New New New New New New New New New New New New New New New New New New New"/>
    <w:basedOn w:val="92"/>
    <w:qFormat/>
    <w:uiPriority w:val="0"/>
    <w:pPr>
      <w:tabs>
        <w:tab w:val="center" w:pos="4153"/>
        <w:tab w:val="right" w:pos="8306"/>
      </w:tabs>
      <w:snapToGrid w:val="0"/>
      <w:jc w:val="left"/>
    </w:pPr>
    <w:rPr>
      <w:sz w:val="18"/>
      <w:szCs w:val="18"/>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脚 New New New New New New New New New"/>
    <w:basedOn w:val="68"/>
    <w:qFormat/>
    <w:uiPriority w:val="0"/>
    <w:pPr>
      <w:tabs>
        <w:tab w:val="center" w:pos="4153"/>
        <w:tab w:val="right" w:pos="8306"/>
      </w:tabs>
      <w:snapToGrid w:val="0"/>
      <w:jc w:val="left"/>
    </w:pPr>
    <w:rPr>
      <w:sz w:val="18"/>
      <w:szCs w:val="18"/>
    </w:rPr>
  </w:style>
  <w:style w:type="paragraph" w:customStyle="1" w:styleId="96">
    <w:name w:val="页脚 New New New New New New New New New New New New New New New New New New"/>
    <w:basedOn w:val="71"/>
    <w:qFormat/>
    <w:uiPriority w:val="0"/>
    <w:pPr>
      <w:tabs>
        <w:tab w:val="center" w:pos="4153"/>
        <w:tab w:val="right" w:pos="8306"/>
      </w:tabs>
      <w:snapToGrid w:val="0"/>
      <w:jc w:val="left"/>
    </w:pPr>
    <w:rPr>
      <w:sz w:val="18"/>
      <w:szCs w:val="18"/>
    </w:rPr>
  </w:style>
  <w:style w:type="paragraph" w:customStyle="1" w:styleId="9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w:basedOn w:val="84"/>
    <w:qFormat/>
    <w:uiPriority w:val="0"/>
    <w:pPr>
      <w:widowControl/>
      <w:spacing w:line="400" w:lineRule="exact"/>
      <w:jc w:val="center"/>
    </w:pPr>
  </w:style>
  <w:style w:type="paragraph" w:customStyle="1" w:styleId="9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页脚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0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6">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7">
    <w:name w:val="页脚 New New New New New New New New New New New New New New New New New New New New New New New New"/>
    <w:basedOn w:val="88"/>
    <w:qFormat/>
    <w:uiPriority w:val="0"/>
    <w:pPr>
      <w:tabs>
        <w:tab w:val="center" w:pos="4153"/>
        <w:tab w:val="right" w:pos="8306"/>
      </w:tabs>
      <w:snapToGrid w:val="0"/>
      <w:jc w:val="left"/>
    </w:pPr>
    <w:rPr>
      <w:sz w:val="18"/>
      <w:szCs w:val="18"/>
    </w:rPr>
  </w:style>
  <w:style w:type="paragraph" w:customStyle="1" w:styleId="108">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9">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页脚 New New"/>
    <w:basedOn w:val="57"/>
    <w:qFormat/>
    <w:uiPriority w:val="0"/>
    <w:pPr>
      <w:tabs>
        <w:tab w:val="center" w:pos="4153"/>
        <w:tab w:val="right" w:pos="8306"/>
      </w:tabs>
      <w:snapToGrid w:val="0"/>
      <w:jc w:val="left"/>
    </w:pPr>
    <w:rPr>
      <w:sz w:val="18"/>
      <w:szCs w:val="18"/>
    </w:rPr>
  </w:style>
  <w:style w:type="paragraph" w:customStyle="1" w:styleId="111">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114">
    <w:name w:val="页脚 New New New"/>
    <w:basedOn w:val="115"/>
    <w:qFormat/>
    <w:uiPriority w:val="0"/>
    <w:pPr>
      <w:tabs>
        <w:tab w:val="center" w:pos="4153"/>
        <w:tab w:val="right" w:pos="8306"/>
      </w:tabs>
      <w:snapToGrid w:val="0"/>
      <w:jc w:val="left"/>
    </w:pPr>
    <w:rPr>
      <w:sz w:val="18"/>
      <w:szCs w:val="18"/>
    </w:rPr>
  </w:style>
  <w:style w:type="paragraph" w:customStyle="1" w:styleId="115">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7">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9">
    <w:name w:val="页脚 New New New New"/>
    <w:basedOn w:val="75"/>
    <w:qFormat/>
    <w:uiPriority w:val="0"/>
    <w:pPr>
      <w:tabs>
        <w:tab w:val="center" w:pos="4153"/>
        <w:tab w:val="right" w:pos="8306"/>
      </w:tabs>
      <w:snapToGrid w:val="0"/>
      <w:jc w:val="left"/>
    </w:pPr>
    <w:rPr>
      <w:sz w:val="18"/>
      <w:szCs w:val="18"/>
    </w:rPr>
  </w:style>
  <w:style w:type="paragraph" w:customStyle="1" w:styleId="120">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1">
    <w:name w:val="页脚 New New New New New New New New New New New New New New"/>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8">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页脚 New New New New New"/>
    <w:basedOn w:val="128"/>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文本缩进 New New"/>
    <w:basedOn w:val="84"/>
    <w:qFormat/>
    <w:uiPriority w:val="0"/>
    <w:pPr>
      <w:spacing w:line="500" w:lineRule="exact"/>
      <w:ind w:firstLine="540" w:firstLineChars="225"/>
    </w:pPr>
    <w:rPr>
      <w:sz w:val="24"/>
    </w:rPr>
  </w:style>
  <w:style w:type="paragraph" w:customStyle="1" w:styleId="132">
    <w:name w:val="表正文"/>
    <w:basedOn w:val="1"/>
    <w:next w:val="20"/>
    <w:qFormat/>
    <w:uiPriority w:val="0"/>
    <w:pPr>
      <w:spacing w:line="360" w:lineRule="auto"/>
      <w:ind w:left="480" w:hanging="480" w:hangingChars="200"/>
    </w:pPr>
    <w:rPr>
      <w:rFonts w:ascii="宋体" w:hAnsi="宋体"/>
      <w:sz w:val="24"/>
    </w:rPr>
  </w:style>
  <w:style w:type="paragraph" w:customStyle="1" w:styleId="133">
    <w:name w:val="正文文本缩进 New New New New New New"/>
    <w:basedOn w:val="1"/>
    <w:qFormat/>
    <w:uiPriority w:val="0"/>
    <w:pPr>
      <w:spacing w:line="500" w:lineRule="exact"/>
      <w:ind w:firstLine="540" w:firstLineChars="225"/>
    </w:pPr>
    <w:rPr>
      <w:sz w:val="24"/>
    </w:rPr>
  </w:style>
  <w:style w:type="paragraph" w:customStyle="1" w:styleId="134">
    <w:name w:val="页脚 New New New New New New New New New New New New New New New New New New New New New New"/>
    <w:basedOn w:val="135"/>
    <w:qFormat/>
    <w:uiPriority w:val="0"/>
    <w:pPr>
      <w:tabs>
        <w:tab w:val="center" w:pos="4153"/>
        <w:tab w:val="right" w:pos="8306"/>
      </w:tabs>
      <w:snapToGrid w:val="0"/>
      <w:jc w:val="left"/>
    </w:pPr>
    <w:rPr>
      <w:sz w:val="18"/>
      <w:szCs w:val="18"/>
    </w:rPr>
  </w:style>
  <w:style w:type="paragraph" w:customStyle="1" w:styleId="135">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_Style 14"/>
    <w:basedOn w:val="1"/>
    <w:qFormat/>
    <w:uiPriority w:val="0"/>
    <w:pPr>
      <w:widowControl/>
      <w:spacing w:line="400" w:lineRule="exact"/>
      <w:jc w:val="center"/>
    </w:pPr>
  </w:style>
  <w:style w:type="paragraph" w:customStyle="1" w:styleId="13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小节"/>
    <w:basedOn w:val="1"/>
    <w:next w:val="8"/>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40">
    <w:name w:val="正文文本缩进 New New New New New New New"/>
    <w:basedOn w:val="1"/>
    <w:qFormat/>
    <w:uiPriority w:val="0"/>
    <w:pPr>
      <w:spacing w:line="500" w:lineRule="exact"/>
      <w:ind w:firstLine="540" w:firstLineChars="225"/>
    </w:pPr>
    <w:rPr>
      <w:sz w:val="24"/>
    </w:rPr>
  </w:style>
  <w:style w:type="paragraph" w:customStyle="1" w:styleId="14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4">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
    <w:name w:val="页脚 New New New New New New New New New New"/>
    <w:basedOn w:val="145"/>
    <w:qFormat/>
    <w:uiPriority w:val="0"/>
    <w:pPr>
      <w:tabs>
        <w:tab w:val="center" w:pos="4153"/>
        <w:tab w:val="right" w:pos="8306"/>
      </w:tabs>
      <w:snapToGrid w:val="0"/>
      <w:jc w:val="left"/>
    </w:pPr>
    <w:rPr>
      <w:sz w:val="18"/>
      <w:szCs w:val="18"/>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w:basedOn w:val="14"/>
    <w:qFormat/>
    <w:uiPriority w:val="0"/>
    <w:rPr>
      <w:rFonts w:ascii="Tahoma" w:hAnsi="Tahoma"/>
      <w:sz w:val="24"/>
      <w:szCs w:val="21"/>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文本缩进 New"/>
    <w:basedOn w:val="84"/>
    <w:qFormat/>
    <w:uiPriority w:val="0"/>
    <w:pPr>
      <w:spacing w:line="500" w:lineRule="exact"/>
      <w:ind w:firstLine="540" w:firstLineChars="225"/>
    </w:pPr>
    <w:rPr>
      <w:sz w:val="24"/>
    </w:rPr>
  </w:style>
  <w:style w:type="paragraph" w:customStyle="1" w:styleId="151">
    <w:name w:val="页脚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4">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5">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文本缩进 2 New"/>
    <w:basedOn w:val="84"/>
    <w:qFormat/>
    <w:uiPriority w:val="0"/>
    <w:pPr>
      <w:spacing w:line="500" w:lineRule="exact"/>
      <w:ind w:firstLine="720" w:firstLineChars="300"/>
    </w:pPr>
    <w:rPr>
      <w:sz w:val="24"/>
    </w:rPr>
  </w:style>
  <w:style w:type="paragraph" w:customStyle="1" w:styleId="159">
    <w:name w:val="页脚 New New New New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160">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1">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5">
    <w:name w:val="页脚 New New New New New New New New New New New New New New New New New"/>
    <w:basedOn w:val="99"/>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页脚 New New New New New New"/>
    <w:basedOn w:val="81"/>
    <w:qFormat/>
    <w:uiPriority w:val="0"/>
    <w:pPr>
      <w:tabs>
        <w:tab w:val="center" w:pos="4153"/>
        <w:tab w:val="right" w:pos="8306"/>
      </w:tabs>
      <w:snapToGrid w:val="0"/>
      <w:jc w:val="left"/>
    </w:pPr>
    <w:rPr>
      <w:sz w:val="18"/>
      <w:szCs w:val="18"/>
    </w:rPr>
  </w:style>
  <w:style w:type="paragraph" w:customStyle="1" w:styleId="170">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1">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页脚 New"/>
    <w:basedOn w:val="142"/>
    <w:qFormat/>
    <w:uiPriority w:val="0"/>
    <w:pPr>
      <w:tabs>
        <w:tab w:val="center" w:pos="4153"/>
        <w:tab w:val="right" w:pos="8306"/>
      </w:tabs>
      <w:snapToGrid w:val="0"/>
      <w:jc w:val="left"/>
    </w:pPr>
    <w:rPr>
      <w:sz w:val="18"/>
      <w:szCs w:val="18"/>
    </w:rPr>
  </w:style>
  <w:style w:type="paragraph" w:customStyle="1" w:styleId="173">
    <w:name w:val="页脚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174">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8">
    <w:name w:val="页脚 New New New New New New New New New New New New New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79">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2">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18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8501</Words>
  <Characters>9406</Characters>
  <Lines>88</Lines>
  <Paragraphs>24</Paragraphs>
  <TotalTime>21</TotalTime>
  <ScaleCrop>false</ScaleCrop>
  <LinksUpToDate>false</LinksUpToDate>
  <CharactersWithSpaces>10712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2023-06-26T01:38:00Z</dcterms:created>
  <dc:creator>深圳市招标中心</dc:creator>
  <cp:lastModifiedBy>x.</cp:lastModifiedBy>
  <cp:lastPrinted>2023-06-06T07:58:00Z</cp:lastPrinted>
  <dcterms:modified xsi:type="dcterms:W3CDTF">2023-07-25T09:00:21Z</dcterms:modified>
  <dc:title>佛山市政府办公网一期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05FE109DBCA340C4A8F121F49C5A6119</vt:lpwstr>
  </property>
</Properties>
</file>