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3"/>
        <w:tblW w:w="0" w:type="auto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89"/>
        <w:gridCol w:w="456"/>
        <w:gridCol w:w="3377"/>
        <w:gridCol w:w="763"/>
        <w:gridCol w:w="767"/>
        <w:gridCol w:w="1050"/>
        <w:gridCol w:w="60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tblHeader/>
        </w:trPr>
        <w:tc>
          <w:tcPr>
            <w:tcW w:w="100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黑体" w:hAnsi="黑体" w:eastAsia="黑体" w:cs="黑体"/>
                <w:b/>
                <w:color w:val="auto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color w:val="auto"/>
                <w:sz w:val="36"/>
                <w:szCs w:val="36"/>
              </w:rPr>
              <w:t>机电类设备（起重机械）技术服务协议书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</w:trPr>
        <w:tc>
          <w:tcPr>
            <w:tcW w:w="20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本协议签订地：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协议编号：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甲方单位(盖章)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联系人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联系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电话</w:t>
            </w:r>
          </w:p>
        </w:tc>
        <w:tc>
          <w:tcPr>
            <w:tcW w:w="144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详细地址</w:t>
            </w:r>
          </w:p>
        </w:tc>
        <w:tc>
          <w:tcPr>
            <w:tcW w:w="4907" w:type="dxa"/>
            <w:gridSpan w:val="3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电子邮箱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乙方单位(盖章)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广东省特种设备检测研究院顺德检测院</w:t>
            </w:r>
          </w:p>
        </w:tc>
        <w:tc>
          <w:tcPr>
            <w:tcW w:w="767" w:type="dxa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联系人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联系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电话</w:t>
            </w:r>
          </w:p>
        </w:tc>
        <w:tc>
          <w:tcPr>
            <w:tcW w:w="1442" w:type="dxa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详细地址</w:t>
            </w:r>
          </w:p>
        </w:tc>
        <w:tc>
          <w:tcPr>
            <w:tcW w:w="7999" w:type="dxa"/>
            <w:gridSpan w:val="6"/>
            <w:vAlign w:val="center"/>
          </w:tcPr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广东省佛山市顺德区陈村镇永兴社区广隆工业园兴业六路3号之一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委托设备清单</w:t>
            </w:r>
          </w:p>
        </w:tc>
        <w:tc>
          <w:tcPr>
            <w:tcW w:w="8455" w:type="dxa"/>
            <w:gridSpan w:val="7"/>
            <w:vAlign w:val="center"/>
          </w:tcPr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见附表。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设备使用单位</w:t>
            </w:r>
          </w:p>
        </w:tc>
        <w:tc>
          <w:tcPr>
            <w:tcW w:w="8455" w:type="dxa"/>
            <w:gridSpan w:val="7"/>
            <w:vAlign w:val="center"/>
          </w:tcPr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□与委托单位一致；□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委托检测项目</w:t>
            </w:r>
          </w:p>
        </w:tc>
        <w:tc>
          <w:tcPr>
            <w:tcW w:w="4596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□起重机械上拱度委托检测</w:t>
            </w:r>
          </w:p>
        </w:tc>
        <w:tc>
          <w:tcPr>
            <w:tcW w:w="3859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起重机械安全评估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□停用设备投用前评价服务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□未办理使用登记证起重机评估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after="0" w:line="296" w:lineRule="auto"/>
              <w:ind w:left="0" w:leftChars="0" w:firstLine="0" w:firstLineChars="0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□两工地起重机械委托检测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□非特种设备目录内设备的委托检测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after="0" w:line="296" w:lineRule="auto"/>
              <w:ind w:left="0" w:leftChars="0" w:firstLine="0" w:firstLineChars="0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□大型监控系统委托检测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□主要受力构件应力测试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after="0" w:line="296" w:lineRule="auto"/>
              <w:ind w:left="0" w:leftChars="0" w:firstLine="0" w:firstLineChars="0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□起重机性能指标核算检测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□桥(门)式起重机委托检测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after="0" w:line="296" w:lineRule="auto"/>
              <w:ind w:left="0" w:leftChars="0" w:firstLine="0" w:firstLineChars="0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□针对存在安全隐患设备的维修后评价服务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9" w:hRule="atLeast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委托检测方法及评价依据</w:t>
            </w:r>
          </w:p>
        </w:tc>
        <w:tc>
          <w:tcPr>
            <w:tcW w:w="8455" w:type="dxa"/>
            <w:gridSpan w:val="7"/>
            <w:vAlign w:val="center"/>
          </w:tcPr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《中华人民共和国特种设备安全法》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《特种设备安全监察条例》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《广东省特种设备安全条例》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《起重机设计规范》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（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GB/T3811-2008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《起重机械安全规程第1部分：总则》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（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GB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/T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6067.1-2010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《起重机械安全技术规程》TSG 51-2023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《环链电动葫芦》（JB/T 5317-2016）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《钢丝绳电动葫芦 第1部分:型式与基本参数、技术条件》（JB/T 9008.1-2014）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《起重设备安装工程施工及验收规范》（GB 50278-2010）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《起重机 术语 第1部分:通用术语》(GB/T 6974.1-2008)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《起重吊钩 第5部分:直柄单钩》（GB/T 10051.5-2010）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《起重机械安全规程 第5部分:桥式和门式起重机》（GB/T 6067.5-2014）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《特种设备目录外起重机械安全评价规范》（T/STS 01-2022）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《载货用固定式液压升降平台安全评价规范》（T/ TFASE 001—2022）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《塔式起重机安全规程》（GB 5144-2006）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《塔式起重机》（GB/T 5031-2019）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《建筑施工塔式起重机安装、使用、拆卸安全技术规程》（JGJ 196-2010）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《吊笼有垂直导向的人货两用施工升降机》（GB/T 26557-2021）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《货用施工升降机 第1部分:运载装置可进人的升降机》（GB/T 10054.1-2021）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《货用施工升降机 第2部分:运载装置不可进人的倾斜式升降机》（GB/T 10054.2-2014）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《擦窗机》（GB/T 19154-2017）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《擦窗机安装工程质量验收标准》（JGJ/T 150-2018）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《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建筑塔式起重机安装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检验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评定规程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》（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DBJ/T15-73-2010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）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其他法规标准或科技成果：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          </w:t>
            </w:r>
          </w:p>
          <w:p>
            <w:pPr>
              <w:pStyle w:val="23"/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注：上述标准若有更新，依照最新版本执行。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技术服务费用</w:t>
            </w:r>
          </w:p>
        </w:tc>
        <w:tc>
          <w:tcPr>
            <w:tcW w:w="8455" w:type="dxa"/>
            <w:gridSpan w:val="7"/>
            <w:vAlign w:val="center"/>
          </w:tcPr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合计（含6%增值税）：大写 ¥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元整（小写 ¥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元）</w:t>
            </w:r>
          </w:p>
          <w:p>
            <w:pPr>
              <w:adjustRightInd w:val="0"/>
              <w:snapToGrid w:val="0"/>
              <w:spacing w:line="296" w:lineRule="auto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该费用包含检测费用、技术咨询费用等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甲方开票信息</w:t>
            </w:r>
          </w:p>
        </w:tc>
        <w:tc>
          <w:tcPr>
            <w:tcW w:w="4596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开户名称：</w:t>
            </w:r>
          </w:p>
        </w:tc>
        <w:tc>
          <w:tcPr>
            <w:tcW w:w="3859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开户银行：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hint="eastAsia" w:ascii="Calibri" w:hAnsi="Calibri" w:cs="Calibri"/>
                <w:color w:val="auto"/>
                <w:sz w:val="18"/>
                <w:szCs w:val="18"/>
                <w:lang w:eastAsia="zh-CN"/>
              </w:rPr>
              <w:t>银行账号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right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注册地址：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乙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eastAsia="en-US"/>
              </w:rPr>
              <w:t>方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收款信息</w:t>
            </w:r>
          </w:p>
        </w:tc>
        <w:tc>
          <w:tcPr>
            <w:tcW w:w="4596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开户名称：广东省特种设备检测研究院顺德检测院</w:t>
            </w:r>
          </w:p>
        </w:tc>
        <w:tc>
          <w:tcPr>
            <w:tcW w:w="3859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统一社会信用代码：12440000456085719P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开户银行：中国农业银行股份有限公司顺德分行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auto"/>
                <w:sz w:val="18"/>
                <w:szCs w:val="18"/>
                <w:lang w:eastAsia="zh-CN"/>
              </w:rPr>
              <w:t>银行账号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：44463001040037309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top w:val="nil"/>
              <w:right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注册地址：广东省佛山市顺德区陈村镇永兴社区广隆工业园兴业六路3号之一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电话：0757-22337603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甲方承担的责任和义务</w:t>
            </w:r>
          </w:p>
        </w:tc>
        <w:tc>
          <w:tcPr>
            <w:tcW w:w="8455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提供待检设备的资料（产品质量证明书、检测报告及其相关设计、安装证明文件等）；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甲方设备所在现场待检，应满足相关检测标准规范的要求，且需提供必要的安全指引和安全隔离设施；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在乙方技术服务期间，甲方负责协调和辅助配合乙方开展工作；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安装单位及其操作人员应提供相应资质许可证明文件；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配合乙方检测人员工作，对检测过程提出的问题和整改意见，应及时进行处理和回复；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及时整理和提供施工记录文件，及乙方出具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委托检测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报告所需的其他资料；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承诺在业务来往过程中，不得借助商业贿赂手段获得不正当利益；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甲方负责设备在技术服务现场需要满足的工作条件，包括金属表面打磨、拆卸、检修平台的装设、设备的调试和载荷性能试验等；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委托检测项目如涉及性能测试，要使用经计量认可的砝码或重物的，由甲方提供；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甲方提供必要的现场条件及安全生产保障，技术服务期间因甲方原因发生安全生产事故的，由甲方承担相应责任。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乙方承担的责任和义务</w:t>
            </w:r>
          </w:p>
        </w:tc>
        <w:tc>
          <w:tcPr>
            <w:tcW w:w="8455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按照相应设计文件或相关标准的要求进行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委托检测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，配置检测所需人员和仪器设备；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在检测过程中发现的重大缺陷或质量问题应及时向甲方反馈；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检测完成后，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</w:rPr>
              <w:t>15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个工作日内（复杂、大批量设备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</w:rPr>
              <w:t>25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个工作日）出具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委托检测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报告，并对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委托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检测结果的公正性、正确性负责；报告发放形式：甲方自取或发送电子报告书；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甲方就设备存在问题，向乙方提出咨询服务时，乙方应提供专业意见；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乙方对甲方提供的技术资料、自行检查记录（报告）进行审查，提出改进建议；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乙方不得泄露甲方本项目中涉及的商业或技术秘密，保质保量完成以上任务；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乙方人员应遵守甲方的相关安全管理规定，并协助甲方做好现场安全及防火工作，如因乙方未遵守甲方的安全规定，发生安全事故的，由乙方或相关责任方承担相应责任及赔偿，赔偿不超过本协议总额的50%。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其它条款</w:t>
            </w:r>
          </w:p>
        </w:tc>
        <w:tc>
          <w:tcPr>
            <w:tcW w:w="8455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甲方保证及时配合乙方工作，在协议签订后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</w:rPr>
              <w:t>5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个工作日内缴纳所需费用。逾期缴费的，乙方按每日总价的0.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3%收取违约金；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cs="Calibri" w:eastAsiaTheme="minorEastAsia"/>
                <w:color w:val="auto"/>
                <w:sz w:val="18"/>
                <w:szCs w:val="18"/>
              </w:rPr>
              <w:t>甲方按照约定付款后</w:t>
            </w:r>
            <w:r>
              <w:rPr>
                <w:rFonts w:hint="eastAsia" w:ascii="Calibri" w:hAnsi="Calibri" w:cs="Calibri" w:eastAsiaTheme="minorEastAsia"/>
                <w:color w:val="auto"/>
                <w:sz w:val="18"/>
                <w:szCs w:val="18"/>
                <w:u w:val="single"/>
              </w:rPr>
              <w:t xml:space="preserve"> 10</w:t>
            </w:r>
            <w:r>
              <w:rPr>
                <w:rFonts w:hint="eastAsia" w:ascii="Calibri" w:hAnsi="Calibri" w:cs="Calibri" w:eastAsiaTheme="minorEastAsia"/>
                <w:color w:val="auto"/>
                <w:sz w:val="18"/>
                <w:szCs w:val="18"/>
              </w:rPr>
              <w:t>个工作日内安排检测，对委托检测提出的隐患问题，如需现场确认隐患处理情况的，乙方产生的费用不包含在本合同价款中；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甲方需提供开票信息用于开具发票，增值税普通发票及增值税专用发票均为含6%税率的电子发票；</w:t>
            </w:r>
          </w:p>
          <w:p>
            <w:pPr>
              <w:numPr>
                <w:ilvl w:val="0"/>
                <w:numId w:val="2"/>
              </w:numPr>
              <w:tabs>
                <w:tab w:val="right" w:pos="8239"/>
              </w:tabs>
              <w:adjustRightInd w:val="0"/>
              <w:snapToGrid w:val="0"/>
              <w:spacing w:line="296" w:lineRule="auto"/>
              <w:ind w:left="0"/>
              <w:rPr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双方因履行本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</w:rPr>
              <w:t>协议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而发生争议的应协商解决，协商不成的可向原告所在地人民法院起诉；</w:t>
            </w:r>
          </w:p>
          <w:p>
            <w:pPr>
              <w:numPr>
                <w:ilvl w:val="0"/>
                <w:numId w:val="2"/>
              </w:numPr>
              <w:tabs>
                <w:tab w:val="right" w:pos="8239"/>
              </w:tabs>
              <w:adjustRightInd w:val="0"/>
              <w:snapToGrid w:val="0"/>
              <w:spacing w:line="296" w:lineRule="auto"/>
              <w:ind w:left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违约方违反本</w:t>
            </w:r>
            <w:r>
              <w:rPr>
                <w:rFonts w:hint="eastAsia"/>
                <w:color w:val="auto"/>
                <w:sz w:val="18"/>
                <w:szCs w:val="18"/>
              </w:rPr>
              <w:t>协议</w:t>
            </w:r>
            <w:r>
              <w:rPr>
                <w:color w:val="auto"/>
                <w:sz w:val="18"/>
                <w:szCs w:val="18"/>
              </w:rPr>
              <w:t>约定而给守约方造成任何损失或损害的，违约方应赔偿守约方的损失，包括但不限于守约方遭受的直接损失，对第三方的赔偿金/违约金、预期可得利益以及因维权而支出的费用 (包括但不限于诉讼/仲裁费、律师费、保全费、保全保函费、差旅费等)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技术服务期间涉及到需要邮寄的，邮寄费用由邮寄方承担，如有另行约定的除外；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由于不可抗拒原因造成的延迟检测或者终止检测，乙方不承担责任；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本协议每页均有盖章处，加页处盖骑缝章，一式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</w:rPr>
              <w:t>2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份，甲方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</w:rPr>
              <w:t>1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份乙方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</w:rPr>
              <w:t>1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份，每份协议都具有同等法律效力；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本协议自双方签署后生效，至甲方收到报告并支付完毕费用后终止。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96" w:lineRule="auto"/>
              <w:ind w:left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其他条款：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  <w:u w:val="single"/>
              </w:rPr>
              <w:t xml:space="preserve">                                    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28"/>
              <w:tabs>
                <w:tab w:val="left" w:pos="837"/>
              </w:tabs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协议</w:t>
            </w:r>
          </w:p>
          <w:p>
            <w:pPr>
              <w:pStyle w:val="28"/>
              <w:tabs>
                <w:tab w:val="left" w:pos="837"/>
              </w:tabs>
              <w:adjustRightInd w:val="0"/>
              <w:snapToGrid w:val="0"/>
              <w:spacing w:line="29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签定</w:t>
            </w:r>
          </w:p>
        </w:tc>
        <w:tc>
          <w:tcPr>
            <w:tcW w:w="4622" w:type="dxa"/>
            <w:gridSpan w:val="3"/>
            <w:tcBorders>
              <w:bottom w:val="nil"/>
              <w:right w:val="nil"/>
            </w:tcBorders>
            <w:vAlign w:val="bottom"/>
          </w:tcPr>
          <w:p>
            <w:pPr>
              <w:pStyle w:val="28"/>
              <w:tabs>
                <w:tab w:val="left" w:pos="837"/>
              </w:tabs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甲方（盖章）：</w:t>
            </w:r>
          </w:p>
        </w:tc>
        <w:tc>
          <w:tcPr>
            <w:tcW w:w="4622" w:type="dxa"/>
            <w:gridSpan w:val="5"/>
            <w:tcBorders>
              <w:left w:val="nil"/>
              <w:bottom w:val="nil"/>
            </w:tcBorders>
            <w:vAlign w:val="center"/>
          </w:tcPr>
          <w:p>
            <w:pPr>
              <w:pStyle w:val="28"/>
              <w:tabs>
                <w:tab w:val="left" w:pos="731"/>
              </w:tabs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乙方（盖章）：广东省特种设备检测研究院顺德检测院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62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>
            <w:pPr>
              <w:pStyle w:val="28"/>
              <w:tabs>
                <w:tab w:val="left" w:pos="837"/>
              </w:tabs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甲方代表签名：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>
            <w:pPr>
              <w:pStyle w:val="28"/>
              <w:tabs>
                <w:tab w:val="left" w:pos="837"/>
              </w:tabs>
              <w:adjustRightInd w:val="0"/>
              <w:snapToGrid w:val="0"/>
              <w:spacing w:line="296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乙方代表签名：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29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622" w:type="dxa"/>
            <w:gridSpan w:val="3"/>
            <w:tcBorders>
              <w:top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28"/>
              <w:tabs>
                <w:tab w:val="left" w:pos="3042"/>
                <w:tab w:val="left" w:pos="3674"/>
                <w:tab w:val="left" w:pos="4302"/>
              </w:tabs>
              <w:wordWrap w:val="0"/>
              <w:adjustRightInd w:val="0"/>
              <w:snapToGrid w:val="0"/>
              <w:spacing w:line="296" w:lineRule="auto"/>
              <w:ind w:firstLine="720" w:firstLineChars="40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年    月    日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color="auto" w:sz="4" w:space="0"/>
            </w:tcBorders>
            <w:vAlign w:val="bottom"/>
          </w:tcPr>
          <w:p>
            <w:pPr>
              <w:pStyle w:val="28"/>
              <w:tabs>
                <w:tab w:val="left" w:pos="2296"/>
                <w:tab w:val="left" w:pos="2927"/>
                <w:tab w:val="left" w:pos="3556"/>
              </w:tabs>
              <w:adjustRightInd w:val="0"/>
              <w:snapToGrid w:val="0"/>
              <w:spacing w:line="296" w:lineRule="auto"/>
              <w:ind w:firstLine="720" w:firstLineChars="40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年    月    日</w:t>
            </w:r>
          </w:p>
        </w:tc>
      </w:tr>
    </w:tbl>
    <w:p>
      <w:pPr>
        <w:pStyle w:val="4"/>
        <w:jc w:val="left"/>
        <w:rPr>
          <w:rFonts w:asciiTheme="minorEastAsia" w:hAnsiTheme="minorEastAsia" w:eastAsiaTheme="minorEastAsia"/>
          <w:b/>
          <w:bCs/>
          <w:sz w:val="21"/>
          <w:szCs w:val="21"/>
        </w:rPr>
      </w:pPr>
    </w:p>
    <w:p>
      <w:pPr>
        <w:pStyle w:val="4"/>
        <w:jc w:val="left"/>
        <w:rPr>
          <w:rFonts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附表 委托设备清单（可加页）</w:t>
      </w:r>
    </w:p>
    <w:tbl>
      <w:tblPr>
        <w:tblStyle w:val="13"/>
        <w:tblW w:w="10009" w:type="dxa"/>
        <w:tblInd w:w="-1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923"/>
        <w:gridCol w:w="2293"/>
        <w:gridCol w:w="1843"/>
        <w:gridCol w:w="1823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923" w:type="dxa"/>
            <w:vAlign w:val="center"/>
          </w:tcPr>
          <w:p>
            <w:pPr>
              <w:pStyle w:val="4"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设备名称</w:t>
            </w:r>
          </w:p>
        </w:tc>
        <w:tc>
          <w:tcPr>
            <w:tcW w:w="2293" w:type="dxa"/>
            <w:vAlign w:val="center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使用登记证（选填）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出厂编号</w:t>
            </w:r>
          </w:p>
        </w:tc>
        <w:tc>
          <w:tcPr>
            <w:tcW w:w="1823" w:type="dxa"/>
            <w:vAlign w:val="center"/>
          </w:tcPr>
          <w:p>
            <w:pPr>
              <w:pStyle w:val="4"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设备使用地点</w:t>
            </w:r>
          </w:p>
        </w:tc>
        <w:tc>
          <w:tcPr>
            <w:tcW w:w="1364" w:type="dxa"/>
            <w:vAlign w:val="center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3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jc w:val="left"/>
        <w:rPr>
          <w:sz w:val="28"/>
          <w:szCs w:val="28"/>
        </w:rPr>
      </w:pPr>
    </w:p>
    <w:sectPr>
      <w:pgSz w:w="11906" w:h="16838"/>
      <w:pgMar w:top="426" w:right="1134" w:bottom="28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D16CFA"/>
    <w:multiLevelType w:val="singleLevel"/>
    <w:tmpl w:val="F4D16CFA"/>
    <w:lvl w:ilvl="0" w:tentative="0">
      <w:start w:val="1"/>
      <w:numFmt w:val="decimal"/>
      <w:suff w:val="nothing"/>
      <w:lvlText w:val="%1．"/>
      <w:lvlJc w:val="left"/>
      <w:pPr>
        <w:ind w:left="57" w:firstLine="0"/>
      </w:pPr>
      <w:rPr>
        <w:rFonts w:hint="default"/>
      </w:rPr>
    </w:lvl>
  </w:abstractNum>
  <w:abstractNum w:abstractNumId="1">
    <w:nsid w:val="31046A0C"/>
    <w:multiLevelType w:val="singleLevel"/>
    <w:tmpl w:val="31046A0C"/>
    <w:lvl w:ilvl="0" w:tentative="0">
      <w:start w:val="1"/>
      <w:numFmt w:val="decimal"/>
      <w:suff w:val="nothing"/>
      <w:lvlText w:val="%1．"/>
      <w:lvlJc w:val="left"/>
      <w:pPr>
        <w:ind w:left="57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NzZhNmFiMTcyNDcyZTQwYWIzMWJlN2VhNTBlNTEifQ=="/>
    <w:docVar w:name="KSO_WPS_MARK_KEY" w:val="fb51699c-8f63-493d-a2ab-b02b5ac00a34"/>
  </w:docVars>
  <w:rsids>
    <w:rsidRoot w:val="00172A27"/>
    <w:rsid w:val="000263E2"/>
    <w:rsid w:val="00046E64"/>
    <w:rsid w:val="00091BB4"/>
    <w:rsid w:val="00092813"/>
    <w:rsid w:val="000B5F09"/>
    <w:rsid w:val="000D21C2"/>
    <w:rsid w:val="000D41F0"/>
    <w:rsid w:val="000F32D6"/>
    <w:rsid w:val="00107808"/>
    <w:rsid w:val="00124B9C"/>
    <w:rsid w:val="0013453F"/>
    <w:rsid w:val="00135FBD"/>
    <w:rsid w:val="00172A27"/>
    <w:rsid w:val="00185726"/>
    <w:rsid w:val="00196E1B"/>
    <w:rsid w:val="001A20BD"/>
    <w:rsid w:val="001A2F6F"/>
    <w:rsid w:val="001A7F24"/>
    <w:rsid w:val="001C04E7"/>
    <w:rsid w:val="001C1C3E"/>
    <w:rsid w:val="001E3A83"/>
    <w:rsid w:val="001E786C"/>
    <w:rsid w:val="001F399A"/>
    <w:rsid w:val="001F4B15"/>
    <w:rsid w:val="002022A5"/>
    <w:rsid w:val="002206C6"/>
    <w:rsid w:val="00233172"/>
    <w:rsid w:val="00243167"/>
    <w:rsid w:val="00263783"/>
    <w:rsid w:val="00285DCC"/>
    <w:rsid w:val="002B04FD"/>
    <w:rsid w:val="002B69BE"/>
    <w:rsid w:val="002E65F1"/>
    <w:rsid w:val="00302671"/>
    <w:rsid w:val="003359FA"/>
    <w:rsid w:val="00336354"/>
    <w:rsid w:val="00385E19"/>
    <w:rsid w:val="00387C79"/>
    <w:rsid w:val="003E4233"/>
    <w:rsid w:val="0041486D"/>
    <w:rsid w:val="0043666C"/>
    <w:rsid w:val="00444773"/>
    <w:rsid w:val="00446F5B"/>
    <w:rsid w:val="004534DD"/>
    <w:rsid w:val="00473E1A"/>
    <w:rsid w:val="00493743"/>
    <w:rsid w:val="004B2456"/>
    <w:rsid w:val="004B628E"/>
    <w:rsid w:val="004E01AE"/>
    <w:rsid w:val="00531A86"/>
    <w:rsid w:val="005445B3"/>
    <w:rsid w:val="005450B4"/>
    <w:rsid w:val="00552EC3"/>
    <w:rsid w:val="00580226"/>
    <w:rsid w:val="00580900"/>
    <w:rsid w:val="005A3935"/>
    <w:rsid w:val="005B086A"/>
    <w:rsid w:val="005D2CC7"/>
    <w:rsid w:val="005E1001"/>
    <w:rsid w:val="005E3E40"/>
    <w:rsid w:val="005E7C4E"/>
    <w:rsid w:val="005F0871"/>
    <w:rsid w:val="006417E9"/>
    <w:rsid w:val="00675BC5"/>
    <w:rsid w:val="00681D01"/>
    <w:rsid w:val="006A1B3A"/>
    <w:rsid w:val="006A59EB"/>
    <w:rsid w:val="006E1527"/>
    <w:rsid w:val="006E5A89"/>
    <w:rsid w:val="00702CBA"/>
    <w:rsid w:val="00707726"/>
    <w:rsid w:val="00731206"/>
    <w:rsid w:val="007320B9"/>
    <w:rsid w:val="00765123"/>
    <w:rsid w:val="0079298B"/>
    <w:rsid w:val="0079348A"/>
    <w:rsid w:val="007D46CF"/>
    <w:rsid w:val="008039B9"/>
    <w:rsid w:val="00833E1F"/>
    <w:rsid w:val="008378E0"/>
    <w:rsid w:val="00853BF0"/>
    <w:rsid w:val="00861295"/>
    <w:rsid w:val="008A4650"/>
    <w:rsid w:val="008A5890"/>
    <w:rsid w:val="008D33E2"/>
    <w:rsid w:val="008E364F"/>
    <w:rsid w:val="008F4E92"/>
    <w:rsid w:val="00907119"/>
    <w:rsid w:val="00925A51"/>
    <w:rsid w:val="00941D11"/>
    <w:rsid w:val="00943182"/>
    <w:rsid w:val="009472C6"/>
    <w:rsid w:val="00955C9D"/>
    <w:rsid w:val="009619C9"/>
    <w:rsid w:val="009A5654"/>
    <w:rsid w:val="009B5D23"/>
    <w:rsid w:val="009B7623"/>
    <w:rsid w:val="009F636C"/>
    <w:rsid w:val="009F65CD"/>
    <w:rsid w:val="00A00E8D"/>
    <w:rsid w:val="00AC0A27"/>
    <w:rsid w:val="00AC5AA7"/>
    <w:rsid w:val="00AC7819"/>
    <w:rsid w:val="00AE6C83"/>
    <w:rsid w:val="00B31AD1"/>
    <w:rsid w:val="00B63145"/>
    <w:rsid w:val="00B75D60"/>
    <w:rsid w:val="00BD0821"/>
    <w:rsid w:val="00BF4590"/>
    <w:rsid w:val="00C046EF"/>
    <w:rsid w:val="00C46AA5"/>
    <w:rsid w:val="00C6307E"/>
    <w:rsid w:val="00C843E5"/>
    <w:rsid w:val="00CA13D9"/>
    <w:rsid w:val="00CC5077"/>
    <w:rsid w:val="00CF7B8C"/>
    <w:rsid w:val="00D07D4E"/>
    <w:rsid w:val="00D20AD8"/>
    <w:rsid w:val="00D24A00"/>
    <w:rsid w:val="00D5623D"/>
    <w:rsid w:val="00D700EE"/>
    <w:rsid w:val="00DB3985"/>
    <w:rsid w:val="00DC5676"/>
    <w:rsid w:val="00DE672F"/>
    <w:rsid w:val="00E47F1A"/>
    <w:rsid w:val="00E700FB"/>
    <w:rsid w:val="00E72D82"/>
    <w:rsid w:val="00E821AC"/>
    <w:rsid w:val="00E878CD"/>
    <w:rsid w:val="00E9173E"/>
    <w:rsid w:val="00E9670C"/>
    <w:rsid w:val="00EA21AE"/>
    <w:rsid w:val="00EA5CEA"/>
    <w:rsid w:val="00EA5ECC"/>
    <w:rsid w:val="00EC4A75"/>
    <w:rsid w:val="00EE4BAE"/>
    <w:rsid w:val="00EF0F55"/>
    <w:rsid w:val="00EF5631"/>
    <w:rsid w:val="00F41EC5"/>
    <w:rsid w:val="00F71251"/>
    <w:rsid w:val="00F765B7"/>
    <w:rsid w:val="00FA11B8"/>
    <w:rsid w:val="00FB36FC"/>
    <w:rsid w:val="00FC1CC3"/>
    <w:rsid w:val="00FC46A2"/>
    <w:rsid w:val="08D12DFE"/>
    <w:rsid w:val="0C7A30DA"/>
    <w:rsid w:val="0CCA31A4"/>
    <w:rsid w:val="0EE02FCE"/>
    <w:rsid w:val="0FEE6FAE"/>
    <w:rsid w:val="174F79FF"/>
    <w:rsid w:val="1BF44755"/>
    <w:rsid w:val="1CC61E08"/>
    <w:rsid w:val="217F268F"/>
    <w:rsid w:val="233A6B9F"/>
    <w:rsid w:val="23956EEF"/>
    <w:rsid w:val="28D13F40"/>
    <w:rsid w:val="296A7945"/>
    <w:rsid w:val="2A744F49"/>
    <w:rsid w:val="2BCE4AFA"/>
    <w:rsid w:val="2EF21141"/>
    <w:rsid w:val="32562ADC"/>
    <w:rsid w:val="3438587A"/>
    <w:rsid w:val="356F5645"/>
    <w:rsid w:val="358268A7"/>
    <w:rsid w:val="3B072BD8"/>
    <w:rsid w:val="3D7D4612"/>
    <w:rsid w:val="3E4C3144"/>
    <w:rsid w:val="3E713DFB"/>
    <w:rsid w:val="41C32C6C"/>
    <w:rsid w:val="442D7B2C"/>
    <w:rsid w:val="44981A23"/>
    <w:rsid w:val="44BF3881"/>
    <w:rsid w:val="46DB190B"/>
    <w:rsid w:val="47137FAD"/>
    <w:rsid w:val="4B8A50E5"/>
    <w:rsid w:val="4C4A5008"/>
    <w:rsid w:val="4CF32ACF"/>
    <w:rsid w:val="4FAB04B3"/>
    <w:rsid w:val="4FFA52DE"/>
    <w:rsid w:val="505A7A67"/>
    <w:rsid w:val="549E3EDE"/>
    <w:rsid w:val="59063AB0"/>
    <w:rsid w:val="59655EEB"/>
    <w:rsid w:val="5DA65839"/>
    <w:rsid w:val="5E3237FD"/>
    <w:rsid w:val="5F85797A"/>
    <w:rsid w:val="6202164B"/>
    <w:rsid w:val="64AC6868"/>
    <w:rsid w:val="650009AF"/>
    <w:rsid w:val="65802D9A"/>
    <w:rsid w:val="67614F88"/>
    <w:rsid w:val="688D6915"/>
    <w:rsid w:val="693E4BBD"/>
    <w:rsid w:val="6F150CD9"/>
    <w:rsid w:val="6F45199A"/>
    <w:rsid w:val="71300010"/>
    <w:rsid w:val="74233EE2"/>
    <w:rsid w:val="763E2DA0"/>
    <w:rsid w:val="765E3475"/>
    <w:rsid w:val="7A1359E3"/>
    <w:rsid w:val="7A5349FE"/>
    <w:rsid w:val="7C1E192D"/>
    <w:rsid w:val="7C217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0"/>
    <w:autoRedefine/>
    <w:qFormat/>
    <w:uiPriority w:val="0"/>
    <w:rPr>
      <w:sz w:val="24"/>
    </w:rPr>
  </w:style>
  <w:style w:type="paragraph" w:styleId="5">
    <w:name w:val="Body Text Indent"/>
    <w:basedOn w:val="1"/>
    <w:next w:val="6"/>
    <w:link w:val="2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envelope return"/>
    <w:basedOn w:val="1"/>
    <w:autoRedefine/>
    <w:semiHidden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annotation subject"/>
    <w:basedOn w:val="3"/>
    <w:next w:val="3"/>
    <w:link w:val="25"/>
    <w:autoRedefine/>
    <w:semiHidden/>
    <w:unhideWhenUsed/>
    <w:qFormat/>
    <w:uiPriority w:val="99"/>
    <w:rPr>
      <w:b/>
      <w:bCs/>
    </w:rPr>
  </w:style>
  <w:style w:type="paragraph" w:styleId="12">
    <w:name w:val="Body Text First Indent 2"/>
    <w:basedOn w:val="5"/>
    <w:link w:val="22"/>
    <w:autoRedefine/>
    <w:unhideWhenUsed/>
    <w:qFormat/>
    <w:uiPriority w:val="99"/>
    <w:pPr>
      <w:ind w:firstLine="420" w:firstLineChars="200"/>
    </w:pPr>
  </w:style>
  <w:style w:type="table" w:styleId="14">
    <w:name w:val="Table Grid"/>
    <w:basedOn w:val="13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page number"/>
    <w:autoRedefine/>
    <w:qFormat/>
    <w:uiPriority w:val="0"/>
  </w:style>
  <w:style w:type="character" w:styleId="18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5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正文文本 Char"/>
    <w:link w:val="4"/>
    <w:autoRedefine/>
    <w:qFormat/>
    <w:uiPriority w:val="0"/>
    <w:rPr>
      <w:kern w:val="2"/>
      <w:sz w:val="24"/>
    </w:rPr>
  </w:style>
  <w:style w:type="character" w:customStyle="1" w:styleId="21">
    <w:name w:val="正文文本缩进 Char"/>
    <w:link w:val="5"/>
    <w:autoRedefine/>
    <w:semiHidden/>
    <w:qFormat/>
    <w:uiPriority w:val="99"/>
    <w:rPr>
      <w:kern w:val="2"/>
      <w:sz w:val="21"/>
    </w:rPr>
  </w:style>
  <w:style w:type="character" w:customStyle="1" w:styleId="22">
    <w:name w:val="正文首行缩进 2 Char"/>
    <w:link w:val="12"/>
    <w:autoRedefine/>
    <w:qFormat/>
    <w:uiPriority w:val="99"/>
  </w:style>
  <w:style w:type="paragraph" w:styleId="23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4">
    <w:name w:val="批注文字 Char"/>
    <w:basedOn w:val="15"/>
    <w:link w:val="3"/>
    <w:autoRedefine/>
    <w:semiHidden/>
    <w:qFormat/>
    <w:uiPriority w:val="99"/>
    <w:rPr>
      <w:kern w:val="2"/>
      <w:sz w:val="21"/>
    </w:rPr>
  </w:style>
  <w:style w:type="character" w:customStyle="1" w:styleId="25">
    <w:name w:val="批注主题 Char"/>
    <w:basedOn w:val="24"/>
    <w:link w:val="11"/>
    <w:autoRedefine/>
    <w:semiHidden/>
    <w:qFormat/>
    <w:uiPriority w:val="99"/>
    <w:rPr>
      <w:b/>
      <w:bCs/>
      <w:kern w:val="2"/>
      <w:sz w:val="21"/>
    </w:rPr>
  </w:style>
  <w:style w:type="paragraph" w:customStyle="1" w:styleId="26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7">
    <w:name w:val="批注框文本 Char"/>
    <w:basedOn w:val="15"/>
    <w:link w:val="8"/>
    <w:autoRedefine/>
    <w:semiHidden/>
    <w:qFormat/>
    <w:uiPriority w:val="99"/>
    <w:rPr>
      <w:kern w:val="2"/>
      <w:sz w:val="18"/>
      <w:szCs w:val="18"/>
    </w:rPr>
  </w:style>
  <w:style w:type="paragraph" w:customStyle="1" w:styleId="28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gts</Company>
  <Pages>2</Pages>
  <Words>437</Words>
  <Characters>2493</Characters>
  <Lines>20</Lines>
  <Paragraphs>5</Paragraphs>
  <TotalTime>9</TotalTime>
  <ScaleCrop>false</ScaleCrop>
  <LinksUpToDate>false</LinksUpToDate>
  <CharactersWithSpaces>2925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2024-04-09T09:17:00Z</dcterms:created>
  <dc:creator>gts-hfm</dc:creator>
  <cp:lastModifiedBy>cpwei</cp:lastModifiedBy>
  <cp:lastPrinted>2024-01-17T03:21:00Z</cp:lastPrinted>
  <dcterms:modified xsi:type="dcterms:W3CDTF">2024-05-07T08:16:17Z</dcterms:modified>
  <dc:title>委托检验协议书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7137FD8A7CD740D08544F5FD76D6917C_13</vt:lpwstr>
  </property>
</Properties>
</file>